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63"/>
        <w:gridCol w:w="3705"/>
      </w:tblGrid>
      <w:tr w:rsidR="00BA0AF0" w:rsidTr="00BA0AF0">
        <w:trPr>
          <w:trHeight w:val="915"/>
        </w:trPr>
        <w:tc>
          <w:tcPr>
            <w:tcW w:w="5501" w:type="dxa"/>
            <w:vAlign w:val="center"/>
          </w:tcPr>
          <w:p w:rsidR="00BA0AF0" w:rsidRDefault="000F4388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DB377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E75561">
              <w:rPr>
                <w:rFonts w:asciiTheme="majorHAnsi" w:eastAsiaTheme="majorEastAsia" w:hAnsiTheme="majorHAnsi" w:cstheme="majorBidi"/>
                <w:sz w:val="36"/>
                <w:szCs w:val="36"/>
              </w:rPr>
              <w:t>Mayıs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BA0AF0" w:rsidRDefault="00472839" w:rsidP="00F2387A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SEKTÖREL</w:t>
            </w:r>
            <w:r w:rsidR="00DB0FFC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ENDEKSLER</w:t>
            </w:r>
            <w:r w:rsidR="00BA0AF0">
              <w:rPr>
                <w:rFonts w:asciiTheme="majorHAnsi" w:eastAsiaTheme="majorEastAsia" w:hAnsiTheme="majorHAnsi" w:cstheme="majorBidi"/>
                <w:sz w:val="36"/>
                <w:szCs w:val="36"/>
              </w:rPr>
              <w:t>İ</w:t>
            </w:r>
          </w:p>
        </w:tc>
        <w:tc>
          <w:tcPr>
            <w:tcW w:w="3797" w:type="dxa"/>
          </w:tcPr>
          <w:p w:rsidR="00BA0AF0" w:rsidRDefault="00E75561" w:rsidP="00E75561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25</w:t>
            </w:r>
            <w:r w:rsidR="00C0063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Mayıs</w:t>
            </w:r>
            <w:r w:rsidR="00C00636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041E14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</w:t>
            </w:r>
            <w:r w:rsidR="000F4388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8</w:t>
            </w:r>
            <w:r w:rsidR="00BA0AF0" w:rsidRPr="0066088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BA0AF0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3FD4150F" wp14:editId="4638B84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0AF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11DC0" w:rsidRDefault="00D11DC0"/>
    <w:p w:rsidR="00BA0AF0" w:rsidRDefault="00E75561" w:rsidP="00BA0A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Mayı</w:t>
      </w:r>
      <w:bookmarkStart w:id="0" w:name="_GoBack"/>
      <w:bookmarkEnd w:id="0"/>
      <w:r>
        <w:rPr>
          <w:rFonts w:ascii="Times New Roman" w:hAnsi="Times New Roman" w:cs="Times New Roman"/>
          <w:b/>
        </w:rPr>
        <w:t>s</w:t>
      </w:r>
      <w:r w:rsidR="00BA0AF0" w:rsidRPr="002B5EAF">
        <w:rPr>
          <w:rFonts w:ascii="Times New Roman" w:hAnsi="Times New Roman" w:cs="Times New Roman"/>
          <w:b/>
        </w:rPr>
        <w:t xml:space="preserve"> ayı </w:t>
      </w:r>
      <w:r w:rsidR="00472839">
        <w:rPr>
          <w:rFonts w:ascii="Times New Roman" w:eastAsia="Times New Roman" w:hAnsi="Times New Roman" w:cs="Times New Roman"/>
          <w:b/>
          <w:bCs/>
        </w:rPr>
        <w:t>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nşaat </w:t>
      </w:r>
      <w:r w:rsidR="00472839">
        <w:rPr>
          <w:rFonts w:ascii="Times New Roman" w:eastAsia="Times New Roman" w:hAnsi="Times New Roman" w:cs="Times New Roman"/>
          <w:b/>
          <w:bCs/>
        </w:rPr>
        <w:t>ve hizmet sektörü güven endeksleri</w:t>
      </w:r>
      <w:r w:rsidR="00BA0AF0" w:rsidRPr="002B5EAF">
        <w:rPr>
          <w:rFonts w:ascii="Times New Roman" w:eastAsia="Times New Roman" w:hAnsi="Times New Roman" w:cs="Times New Roman"/>
          <w:b/>
          <w:bCs/>
        </w:rPr>
        <w:t xml:space="preserve"> </w:t>
      </w:r>
      <w:r w:rsidR="00BA0AF0" w:rsidRPr="002B5EAF">
        <w:rPr>
          <w:rFonts w:ascii="Times New Roman" w:hAnsi="Times New Roman" w:cs="Times New Roman"/>
          <w:b/>
        </w:rPr>
        <w:t xml:space="preserve">TÜİK tarafından </w:t>
      </w:r>
      <w:r w:rsidR="00C0063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5</w:t>
      </w:r>
      <w:r w:rsidR="0094387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Mayıs</w:t>
      </w:r>
      <w:r w:rsidR="004F0E94">
        <w:rPr>
          <w:rFonts w:ascii="Times New Roman" w:hAnsi="Times New Roman" w:cs="Times New Roman"/>
          <w:b/>
        </w:rPr>
        <w:t xml:space="preserve"> 201</w:t>
      </w:r>
      <w:r w:rsidR="000F4388">
        <w:rPr>
          <w:rFonts w:ascii="Times New Roman" w:hAnsi="Times New Roman" w:cs="Times New Roman"/>
          <w:b/>
        </w:rPr>
        <w:t>8</w:t>
      </w:r>
      <w:r w:rsidR="00BA0AF0" w:rsidRPr="002B5EAF">
        <w:rPr>
          <w:rFonts w:ascii="Times New Roman" w:hAnsi="Times New Roman" w:cs="Times New Roman"/>
          <w:b/>
        </w:rPr>
        <w:t xml:space="preserve"> tarihinde yayımlandı. </w:t>
      </w:r>
    </w:p>
    <w:p w:rsidR="00472839" w:rsidRDefault="00472839" w:rsidP="00472839">
      <w:pPr>
        <w:pStyle w:val="Balk2"/>
      </w:pPr>
      <w:r>
        <w:t>İnşaat</w:t>
      </w:r>
      <w:r w:rsidRPr="002B5EAF">
        <w:t xml:space="preserve"> sektörü güven endeksi</w:t>
      </w:r>
    </w:p>
    <w:p w:rsidR="00BA0AF0" w:rsidRDefault="0094387A" w:rsidP="00BA0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</w:t>
      </w:r>
      <w:r w:rsidR="00C03663">
        <w:rPr>
          <w:rFonts w:ascii="Times New Roman" w:hAnsi="Times New Roman" w:cs="Times New Roman"/>
        </w:rPr>
        <w:t xml:space="preserve"> yılı </w:t>
      </w:r>
      <w:r w:rsidR="00E75561">
        <w:rPr>
          <w:rFonts w:ascii="Times New Roman" w:hAnsi="Times New Roman" w:cs="Times New Roman"/>
        </w:rPr>
        <w:t>Nisan</w:t>
      </w:r>
      <w:r w:rsidR="00BA0AF0" w:rsidRPr="00472839">
        <w:rPr>
          <w:rFonts w:ascii="Times New Roman" w:hAnsi="Times New Roman" w:cs="Times New Roman"/>
        </w:rPr>
        <w:t xml:space="preserve"> ayında </w:t>
      </w:r>
      <w:r w:rsidR="002960EC">
        <w:rPr>
          <w:rFonts w:ascii="Times New Roman" w:hAnsi="Times New Roman" w:cs="Times New Roman"/>
        </w:rPr>
        <w:t>7</w:t>
      </w:r>
      <w:r w:rsidR="00D85077">
        <w:rPr>
          <w:rFonts w:ascii="Times New Roman" w:hAnsi="Times New Roman" w:cs="Times New Roman"/>
        </w:rPr>
        <w:t>8</w:t>
      </w:r>
      <w:r w:rsidR="002960EC">
        <w:rPr>
          <w:rFonts w:ascii="Times New Roman" w:hAnsi="Times New Roman" w:cs="Times New Roman"/>
        </w:rPr>
        <w:t>,</w:t>
      </w:r>
      <w:r w:rsidR="00E75561">
        <w:rPr>
          <w:rFonts w:ascii="Times New Roman" w:hAnsi="Times New Roman" w:cs="Times New Roman"/>
        </w:rPr>
        <w:t>8</w:t>
      </w:r>
      <w:r w:rsidR="00C00636">
        <w:rPr>
          <w:rFonts w:ascii="Times New Roman" w:hAnsi="Times New Roman" w:cs="Times New Roman"/>
        </w:rPr>
        <w:t xml:space="preserve"> </w:t>
      </w:r>
      <w:r w:rsidR="00BA0AF0" w:rsidRPr="00472839">
        <w:rPr>
          <w:rFonts w:ascii="Times New Roman" w:hAnsi="Times New Roman" w:cs="Times New Roman"/>
        </w:rPr>
        <w:t xml:space="preserve">olan mevsim etkilerinden arındırılmış inşaat sektörü güven endeksi, </w:t>
      </w:r>
      <w:r w:rsidR="006B7D58">
        <w:rPr>
          <w:rFonts w:ascii="Times New Roman" w:hAnsi="Times New Roman" w:cs="Times New Roman"/>
        </w:rPr>
        <w:t xml:space="preserve">2018 yılı </w:t>
      </w:r>
      <w:r w:rsidR="00E75561">
        <w:rPr>
          <w:rFonts w:ascii="Times New Roman" w:hAnsi="Times New Roman" w:cs="Times New Roman"/>
        </w:rPr>
        <w:t>Mayıs</w:t>
      </w:r>
      <w:r w:rsidR="00D847C0">
        <w:rPr>
          <w:rFonts w:ascii="Times New Roman" w:hAnsi="Times New Roman" w:cs="Times New Roman"/>
        </w:rPr>
        <w:t xml:space="preserve"> </w:t>
      </w:r>
      <w:r w:rsidR="00B36193">
        <w:rPr>
          <w:rFonts w:ascii="Times New Roman" w:hAnsi="Times New Roman" w:cs="Times New Roman"/>
        </w:rPr>
        <w:t xml:space="preserve">ayında </w:t>
      </w:r>
      <w:r w:rsidR="002960EC">
        <w:rPr>
          <w:rFonts w:ascii="Times New Roman" w:hAnsi="Times New Roman" w:cs="Times New Roman"/>
        </w:rPr>
        <w:t>1</w:t>
      </w:r>
      <w:r w:rsidR="00E75561">
        <w:rPr>
          <w:rFonts w:ascii="Times New Roman" w:hAnsi="Times New Roman" w:cs="Times New Roman"/>
        </w:rPr>
        <w:t>,6</w:t>
      </w:r>
      <w:r w:rsidR="0045208A">
        <w:rPr>
          <w:rFonts w:ascii="Times New Roman" w:hAnsi="Times New Roman" w:cs="Times New Roman"/>
        </w:rPr>
        <w:t xml:space="preserve"> puan </w:t>
      </w:r>
      <w:r>
        <w:rPr>
          <w:rFonts w:ascii="Times New Roman" w:hAnsi="Times New Roman" w:cs="Times New Roman"/>
        </w:rPr>
        <w:t>azala</w:t>
      </w:r>
      <w:r w:rsidR="002D413C">
        <w:rPr>
          <w:rFonts w:ascii="Times New Roman" w:hAnsi="Times New Roman" w:cs="Times New Roman"/>
        </w:rPr>
        <w:t xml:space="preserve">rak </w:t>
      </w:r>
      <w:r w:rsidR="00D85077">
        <w:rPr>
          <w:rFonts w:ascii="Times New Roman" w:hAnsi="Times New Roman" w:cs="Times New Roman"/>
        </w:rPr>
        <w:t>7</w:t>
      </w:r>
      <w:r w:rsidR="00E75561">
        <w:rPr>
          <w:rFonts w:ascii="Times New Roman" w:hAnsi="Times New Roman" w:cs="Times New Roman"/>
        </w:rPr>
        <w:t>7,2</w:t>
      </w:r>
      <w:r w:rsidR="006B7D58">
        <w:rPr>
          <w:rFonts w:ascii="Times New Roman" w:hAnsi="Times New Roman" w:cs="Times New Roman"/>
        </w:rPr>
        <w:t xml:space="preserve"> değerine </w:t>
      </w:r>
      <w:r>
        <w:rPr>
          <w:rFonts w:ascii="Times New Roman" w:hAnsi="Times New Roman" w:cs="Times New Roman"/>
        </w:rPr>
        <w:t>düşmüştü</w:t>
      </w:r>
      <w:r w:rsidR="00BF186E">
        <w:rPr>
          <w:rFonts w:ascii="Times New Roman" w:hAnsi="Times New Roman" w:cs="Times New Roman"/>
        </w:rPr>
        <w:t>r</w:t>
      </w:r>
      <w:r w:rsidR="00BA0AF0" w:rsidRPr="00472839">
        <w:rPr>
          <w:rFonts w:ascii="Times New Roman" w:hAnsi="Times New Roman" w:cs="Times New Roman"/>
        </w:rPr>
        <w:t xml:space="preserve">. </w:t>
      </w:r>
      <w:r w:rsidR="003E7ABA" w:rsidRPr="00472839">
        <w:rPr>
          <w:rFonts w:ascii="Times New Roman" w:hAnsi="Times New Roman" w:cs="Times New Roman"/>
        </w:rPr>
        <w:t>Bir önceki</w:t>
      </w:r>
      <w:r w:rsidR="00B36193">
        <w:rPr>
          <w:rFonts w:ascii="Times New Roman" w:hAnsi="Times New Roman" w:cs="Times New Roman"/>
        </w:rPr>
        <w:t xml:space="preserve"> y</w:t>
      </w:r>
      <w:r w:rsidR="00646E04">
        <w:rPr>
          <w:rFonts w:ascii="Times New Roman" w:hAnsi="Times New Roman" w:cs="Times New Roman"/>
        </w:rPr>
        <w:t xml:space="preserve">ılın aynı dönemine göre ise </w:t>
      </w:r>
      <w:r w:rsidR="00D85077">
        <w:rPr>
          <w:rFonts w:ascii="Times New Roman" w:hAnsi="Times New Roman" w:cs="Times New Roman"/>
        </w:rPr>
        <w:t>8</w:t>
      </w:r>
      <w:r w:rsidR="00E75561">
        <w:rPr>
          <w:rFonts w:ascii="Times New Roman" w:hAnsi="Times New Roman" w:cs="Times New Roman"/>
        </w:rPr>
        <w:t>6</w:t>
      </w:r>
      <w:r w:rsidR="00D85077">
        <w:rPr>
          <w:rFonts w:ascii="Times New Roman" w:hAnsi="Times New Roman" w:cs="Times New Roman"/>
        </w:rPr>
        <w:t>,</w:t>
      </w:r>
      <w:r w:rsidR="00E75561">
        <w:rPr>
          <w:rFonts w:ascii="Times New Roman" w:hAnsi="Times New Roman" w:cs="Times New Roman"/>
        </w:rPr>
        <w:t>3</w:t>
      </w:r>
      <w:r w:rsidR="00DC3F8D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puan olan </w:t>
      </w:r>
      <w:r w:rsidR="00B36193">
        <w:rPr>
          <w:rFonts w:ascii="Times New Roman" w:hAnsi="Times New Roman" w:cs="Times New Roman"/>
        </w:rPr>
        <w:t xml:space="preserve">inşaat sektörü güven endeksi </w:t>
      </w:r>
      <w:r w:rsidR="00273012">
        <w:rPr>
          <w:rFonts w:ascii="Times New Roman" w:hAnsi="Times New Roman" w:cs="Times New Roman"/>
        </w:rPr>
        <w:t>9</w:t>
      </w:r>
      <w:r w:rsidR="00E75561">
        <w:rPr>
          <w:rFonts w:ascii="Times New Roman" w:hAnsi="Times New Roman" w:cs="Times New Roman"/>
        </w:rPr>
        <w:t>,2</w:t>
      </w:r>
      <w:r w:rsidR="003E7ABA" w:rsidRPr="00472839">
        <w:rPr>
          <w:rFonts w:ascii="Times New Roman" w:hAnsi="Times New Roman" w:cs="Times New Roman"/>
        </w:rPr>
        <w:t xml:space="preserve"> puan </w:t>
      </w:r>
      <w:r w:rsidR="00273012">
        <w:rPr>
          <w:rFonts w:ascii="Times New Roman" w:hAnsi="Times New Roman" w:cs="Times New Roman"/>
        </w:rPr>
        <w:t>düşerek</w:t>
      </w:r>
      <w:r w:rsidR="003E7ABA" w:rsidRPr="00472839">
        <w:rPr>
          <w:rFonts w:ascii="Times New Roman" w:hAnsi="Times New Roman" w:cs="Times New Roman"/>
        </w:rPr>
        <w:t xml:space="preserve"> yü</w:t>
      </w:r>
      <w:r w:rsidR="00B36193">
        <w:rPr>
          <w:rFonts w:ascii="Times New Roman" w:hAnsi="Times New Roman" w:cs="Times New Roman"/>
        </w:rPr>
        <w:t>zde</w:t>
      </w:r>
      <w:r w:rsidR="005E0AFC">
        <w:rPr>
          <w:rFonts w:ascii="Times New Roman" w:hAnsi="Times New Roman" w:cs="Times New Roman"/>
        </w:rPr>
        <w:t xml:space="preserve"> </w:t>
      </w:r>
      <w:r w:rsidR="00597811">
        <w:rPr>
          <w:rFonts w:ascii="Times New Roman" w:hAnsi="Times New Roman" w:cs="Times New Roman"/>
        </w:rPr>
        <w:t>10</w:t>
      </w:r>
      <w:r w:rsidR="00DB71E1">
        <w:rPr>
          <w:rFonts w:ascii="Times New Roman" w:hAnsi="Times New Roman" w:cs="Times New Roman"/>
        </w:rPr>
        <w:t>,</w:t>
      </w:r>
      <w:r w:rsidR="00597811">
        <w:rPr>
          <w:rFonts w:ascii="Times New Roman" w:hAnsi="Times New Roman" w:cs="Times New Roman"/>
        </w:rPr>
        <w:t>6</w:t>
      </w:r>
      <w:r w:rsidR="00BF186E">
        <w:rPr>
          <w:rFonts w:ascii="Times New Roman" w:hAnsi="Times New Roman" w:cs="Times New Roman"/>
        </w:rPr>
        <w:t xml:space="preserve"> </w:t>
      </w:r>
      <w:r w:rsidR="003E7ABA" w:rsidRPr="00472839">
        <w:rPr>
          <w:rFonts w:ascii="Times New Roman" w:hAnsi="Times New Roman" w:cs="Times New Roman"/>
        </w:rPr>
        <w:t xml:space="preserve">oranında </w:t>
      </w:r>
      <w:r w:rsidR="00B36193">
        <w:rPr>
          <w:rFonts w:ascii="Times New Roman" w:hAnsi="Times New Roman" w:cs="Times New Roman"/>
        </w:rPr>
        <w:t>a</w:t>
      </w:r>
      <w:r w:rsidR="00DB71E1">
        <w:rPr>
          <w:rFonts w:ascii="Times New Roman" w:hAnsi="Times New Roman" w:cs="Times New Roman"/>
        </w:rPr>
        <w:t>zalmıştır.</w:t>
      </w:r>
    </w:p>
    <w:p w:rsidR="00E22179" w:rsidRPr="0071356F" w:rsidRDefault="00E22179" w:rsidP="00BA0AF0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>Mevsimlikten arındırılmamış inşaat sektörü güven endeksine bakıldığında ise, 201</w:t>
      </w:r>
      <w:r w:rsidR="006B7D58">
        <w:rPr>
          <w:rFonts w:ascii="Times New Roman" w:hAnsi="Times New Roman" w:cs="Times New Roman"/>
        </w:rPr>
        <w:t>8</w:t>
      </w:r>
      <w:r w:rsidRPr="002B5EAF">
        <w:rPr>
          <w:rFonts w:ascii="Times New Roman" w:hAnsi="Times New Roman" w:cs="Times New Roman"/>
        </w:rPr>
        <w:t xml:space="preserve"> yılı </w:t>
      </w:r>
      <w:r w:rsidR="00CE3226">
        <w:rPr>
          <w:rFonts w:ascii="Times New Roman" w:hAnsi="Times New Roman" w:cs="Times New Roman"/>
        </w:rPr>
        <w:t>Mayıs</w:t>
      </w:r>
      <w:r w:rsidR="003A70B7">
        <w:rPr>
          <w:rFonts w:ascii="Times New Roman" w:hAnsi="Times New Roman" w:cs="Times New Roman"/>
        </w:rPr>
        <w:t xml:space="preserve"> </w:t>
      </w:r>
      <w:r w:rsidR="00646E04">
        <w:rPr>
          <w:rFonts w:ascii="Times New Roman" w:hAnsi="Times New Roman" w:cs="Times New Roman"/>
        </w:rPr>
        <w:t>a</w:t>
      </w:r>
      <w:r w:rsidR="00B36193">
        <w:rPr>
          <w:rFonts w:ascii="Times New Roman" w:hAnsi="Times New Roman" w:cs="Times New Roman"/>
        </w:rPr>
        <w:t xml:space="preserve">yında bir önceki aya göre </w:t>
      </w:r>
      <w:r w:rsidR="00CE3226">
        <w:rPr>
          <w:rFonts w:ascii="Times New Roman" w:hAnsi="Times New Roman" w:cs="Times New Roman"/>
        </w:rPr>
        <w:t>3,2</w:t>
      </w:r>
      <w:r w:rsidRPr="002B5EAF">
        <w:rPr>
          <w:rFonts w:ascii="Times New Roman" w:hAnsi="Times New Roman" w:cs="Times New Roman"/>
        </w:rPr>
        <w:t xml:space="preserve"> puan </w:t>
      </w:r>
      <w:r w:rsidR="00B73A80">
        <w:rPr>
          <w:rFonts w:ascii="Times New Roman" w:hAnsi="Times New Roman" w:cs="Times New Roman"/>
        </w:rPr>
        <w:t>azalarak</w:t>
      </w:r>
      <w:r w:rsidR="00982EED">
        <w:rPr>
          <w:rFonts w:ascii="Times New Roman" w:hAnsi="Times New Roman" w:cs="Times New Roman"/>
        </w:rPr>
        <w:t xml:space="preserve"> </w:t>
      </w:r>
      <w:r w:rsidR="003A70B7">
        <w:rPr>
          <w:rFonts w:ascii="Times New Roman" w:hAnsi="Times New Roman" w:cs="Times New Roman"/>
        </w:rPr>
        <w:t>8</w:t>
      </w:r>
      <w:r w:rsidR="00870D01">
        <w:rPr>
          <w:rFonts w:ascii="Times New Roman" w:hAnsi="Times New Roman" w:cs="Times New Roman"/>
        </w:rPr>
        <w:t>3,2</w:t>
      </w:r>
      <w:r w:rsidR="00AE63C8">
        <w:rPr>
          <w:rFonts w:ascii="Times New Roman" w:hAnsi="Times New Roman" w:cs="Times New Roman"/>
        </w:rPr>
        <w:t xml:space="preserve"> puana </w:t>
      </w:r>
      <w:r w:rsidR="00B73A80">
        <w:rPr>
          <w:rFonts w:ascii="Times New Roman" w:hAnsi="Times New Roman" w:cs="Times New Roman"/>
        </w:rPr>
        <w:t>düşmüştü</w:t>
      </w:r>
      <w:r w:rsidR="006B7D58">
        <w:rPr>
          <w:rFonts w:ascii="Times New Roman" w:hAnsi="Times New Roman" w:cs="Times New Roman"/>
        </w:rPr>
        <w:t>r</w:t>
      </w:r>
      <w:r w:rsidRPr="002B5EAF">
        <w:rPr>
          <w:rFonts w:ascii="Times New Roman" w:hAnsi="Times New Roman" w:cs="Times New Roman"/>
        </w:rPr>
        <w:t>. 201</w:t>
      </w:r>
      <w:r w:rsidR="006B7D58">
        <w:rPr>
          <w:rFonts w:ascii="Times New Roman" w:hAnsi="Times New Roman" w:cs="Times New Roman"/>
        </w:rPr>
        <w:t>7</w:t>
      </w:r>
      <w:r w:rsidRPr="002B5EAF">
        <w:rPr>
          <w:rFonts w:ascii="Times New Roman" w:hAnsi="Times New Roman" w:cs="Times New Roman"/>
        </w:rPr>
        <w:t xml:space="preserve"> </w:t>
      </w:r>
      <w:r w:rsidR="00870D01">
        <w:rPr>
          <w:rFonts w:ascii="Times New Roman" w:hAnsi="Times New Roman" w:cs="Times New Roman"/>
        </w:rPr>
        <w:t>Mayıs</w:t>
      </w:r>
      <w:r w:rsidR="00646E04">
        <w:rPr>
          <w:rFonts w:ascii="Times New Roman" w:hAnsi="Times New Roman" w:cs="Times New Roman"/>
        </w:rPr>
        <w:t xml:space="preserve"> </w:t>
      </w:r>
      <w:r w:rsidRPr="002B5EAF">
        <w:rPr>
          <w:rFonts w:ascii="Times New Roman" w:hAnsi="Times New Roman" w:cs="Times New Roman"/>
        </w:rPr>
        <w:t xml:space="preserve">ayı verilerine göre incelendiğinde ise, yüzde </w:t>
      </w:r>
      <w:r w:rsidR="00870D01">
        <w:rPr>
          <w:rFonts w:ascii="Times New Roman" w:hAnsi="Times New Roman" w:cs="Times New Roman"/>
        </w:rPr>
        <w:t>9</w:t>
      </w:r>
      <w:r w:rsidR="00597811">
        <w:rPr>
          <w:rFonts w:ascii="Times New Roman" w:hAnsi="Times New Roman" w:cs="Times New Roman"/>
        </w:rPr>
        <w:t>,8</w:t>
      </w:r>
      <w:r w:rsidR="004729F3">
        <w:rPr>
          <w:rFonts w:ascii="Times New Roman" w:eastAsia="Times New Roman" w:hAnsi="Times New Roman" w:cs="Times New Roman"/>
          <w:color w:val="000000"/>
        </w:rPr>
        <w:t xml:space="preserve"> 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oranında </w:t>
      </w:r>
      <w:r w:rsidR="003A4CF2">
        <w:rPr>
          <w:rFonts w:ascii="Times New Roman" w:eastAsia="Times New Roman" w:hAnsi="Times New Roman" w:cs="Times New Roman"/>
          <w:color w:val="000000"/>
        </w:rPr>
        <w:t>azaldığı</w:t>
      </w:r>
      <w:r w:rsidRPr="002B5EAF">
        <w:rPr>
          <w:rFonts w:ascii="Times New Roman" w:eastAsia="Times New Roman" w:hAnsi="Times New Roman" w:cs="Times New Roman"/>
          <w:color w:val="000000"/>
        </w:rPr>
        <w:t xml:space="preserve"> gözlemlenmektedir.  </w:t>
      </w:r>
    </w:p>
    <w:p w:rsidR="00BA0AF0" w:rsidRPr="002B5EAF" w:rsidRDefault="00BA0AF0" w:rsidP="00BA0AF0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begin"/>
      </w:r>
      <w:r w:rsidRPr="002B5EAF">
        <w:rPr>
          <w:rFonts w:ascii="Times New Roman" w:hAnsi="Times New Roman" w:cs="Times New Roman"/>
          <w:sz w:val="22"/>
          <w:szCs w:val="22"/>
        </w:rPr>
        <w:instrText xml:space="preserve"> SEQ Şekil \* ARABIC </w:instrTex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separate"/>
      </w:r>
      <w:r w:rsidR="00822990">
        <w:rPr>
          <w:rFonts w:ascii="Times New Roman" w:hAnsi="Times New Roman" w:cs="Times New Roman"/>
          <w:noProof/>
          <w:sz w:val="22"/>
          <w:szCs w:val="22"/>
        </w:rPr>
        <w:t>1</w:t>
      </w:r>
      <w:r w:rsidR="004A15F5" w:rsidRPr="002B5EAF">
        <w:rPr>
          <w:rFonts w:ascii="Times New Roman" w:hAnsi="Times New Roman" w:cs="Times New Roman"/>
          <w:sz w:val="22"/>
          <w:szCs w:val="22"/>
        </w:rPr>
        <w:fldChar w:fldCharType="end"/>
      </w:r>
      <w:r w:rsidR="00746DDE">
        <w:rPr>
          <w:rFonts w:ascii="Times New Roman" w:hAnsi="Times New Roman" w:cs="Times New Roman"/>
          <w:sz w:val="22"/>
          <w:szCs w:val="22"/>
        </w:rPr>
        <w:t>: İnşaat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0B1BD1">
        <w:rPr>
          <w:rFonts w:ascii="Times New Roman" w:hAnsi="Times New Roman" w:cs="Times New Roman"/>
          <w:sz w:val="22"/>
          <w:szCs w:val="22"/>
        </w:rPr>
        <w:t>Mayıs</w:t>
      </w:r>
      <w:r w:rsidR="003A4CF2">
        <w:rPr>
          <w:rFonts w:ascii="Times New Roman" w:hAnsi="Times New Roman" w:cs="Times New Roman"/>
          <w:sz w:val="22"/>
          <w:szCs w:val="22"/>
        </w:rPr>
        <w:t xml:space="preserve"> </w:t>
      </w:r>
      <w:r w:rsidR="00941751">
        <w:rPr>
          <w:rFonts w:ascii="Times New Roman" w:hAnsi="Times New Roman" w:cs="Times New Roman"/>
          <w:sz w:val="22"/>
          <w:szCs w:val="22"/>
        </w:rPr>
        <w:t>2017</w:t>
      </w:r>
      <w:r w:rsidR="00494A67">
        <w:rPr>
          <w:rFonts w:ascii="Times New Roman" w:hAnsi="Times New Roman" w:cs="Times New Roman"/>
          <w:sz w:val="22"/>
          <w:szCs w:val="22"/>
        </w:rPr>
        <w:t xml:space="preserve"> –</w:t>
      </w:r>
      <w:r w:rsidR="00941751" w:rsidRPr="00941751">
        <w:rPr>
          <w:rFonts w:ascii="Times New Roman" w:hAnsi="Times New Roman" w:cs="Times New Roman"/>
          <w:sz w:val="22"/>
          <w:szCs w:val="22"/>
        </w:rPr>
        <w:t xml:space="preserve"> </w:t>
      </w:r>
      <w:r w:rsidR="000B1BD1">
        <w:rPr>
          <w:rFonts w:ascii="Times New Roman" w:hAnsi="Times New Roman" w:cs="Times New Roman"/>
          <w:sz w:val="22"/>
          <w:szCs w:val="22"/>
        </w:rPr>
        <w:t>Mayıs</w:t>
      </w:r>
      <w:r w:rsidR="00941751">
        <w:rPr>
          <w:rFonts w:ascii="Times New Roman" w:hAnsi="Times New Roman" w:cs="Times New Roman"/>
          <w:sz w:val="22"/>
          <w:szCs w:val="22"/>
        </w:rPr>
        <w:t xml:space="preserve"> 2018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Default="000B1BD1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B05111" wp14:editId="413E3C6E">
            <wp:extent cx="5760720" cy="2447925"/>
            <wp:effectExtent l="0" t="0" r="11430" b="952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5250B" w:rsidRDefault="00415908" w:rsidP="00352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Mevsimlikten arındırılmış inşaat sektörü güven endeksini oluşturan alt kalemlere bakıldığında, </w:t>
      </w:r>
      <w:r w:rsidR="000B1BD1">
        <w:rPr>
          <w:rFonts w:ascii="Times New Roman" w:hAnsi="Times New Roman" w:cs="Times New Roman"/>
        </w:rPr>
        <w:t>Nisan</w:t>
      </w:r>
      <w:r w:rsidR="00021272">
        <w:rPr>
          <w:rFonts w:ascii="Times New Roman" w:hAnsi="Times New Roman" w:cs="Times New Roman"/>
        </w:rPr>
        <w:t xml:space="preserve"> 201</w:t>
      </w:r>
      <w:r w:rsidR="000B1BD1">
        <w:rPr>
          <w:rFonts w:ascii="Times New Roman" w:hAnsi="Times New Roman" w:cs="Times New Roman"/>
        </w:rPr>
        <w:t>8’de 69,2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alınan</w:t>
      </w:r>
      <w:r w:rsidR="00B050DB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siparişle</w:t>
      </w:r>
      <w:r w:rsidR="00E05545">
        <w:rPr>
          <w:rFonts w:ascii="Times New Roman" w:hAnsi="Times New Roman" w:cs="Times New Roman"/>
        </w:rPr>
        <w:t xml:space="preserve">rin mevcut düzeyinin, </w:t>
      </w:r>
      <w:r w:rsidR="000B1BD1">
        <w:rPr>
          <w:rFonts w:ascii="Times New Roman" w:hAnsi="Times New Roman" w:cs="Times New Roman"/>
        </w:rPr>
        <w:t>Mayıs</w:t>
      </w:r>
      <w:r w:rsidR="00021272">
        <w:rPr>
          <w:rFonts w:ascii="Times New Roman" w:hAnsi="Times New Roman" w:cs="Times New Roman"/>
        </w:rPr>
        <w:t xml:space="preserve"> </w:t>
      </w:r>
      <w:r w:rsidR="00543DFC">
        <w:rPr>
          <w:rFonts w:ascii="Times New Roman" w:hAnsi="Times New Roman" w:cs="Times New Roman"/>
        </w:rPr>
        <w:t>201</w:t>
      </w:r>
      <w:r w:rsidR="00054D8A">
        <w:rPr>
          <w:rFonts w:ascii="Times New Roman" w:hAnsi="Times New Roman" w:cs="Times New Roman"/>
        </w:rPr>
        <w:t>8’d</w:t>
      </w:r>
      <w:r w:rsidR="00543DFC">
        <w:rPr>
          <w:rFonts w:ascii="Times New Roman" w:hAnsi="Times New Roman" w:cs="Times New Roman"/>
        </w:rPr>
        <w:t xml:space="preserve">e </w:t>
      </w:r>
      <w:r w:rsidR="000B1BD1">
        <w:rPr>
          <w:rFonts w:ascii="Times New Roman" w:hAnsi="Times New Roman" w:cs="Times New Roman"/>
        </w:rPr>
        <w:t>2,2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B73A80">
        <w:rPr>
          <w:rFonts w:ascii="Times New Roman" w:hAnsi="Times New Roman" w:cs="Times New Roman"/>
        </w:rPr>
        <w:t>düştüğü</w:t>
      </w:r>
      <w:r w:rsidR="00B36193">
        <w:rPr>
          <w:rFonts w:ascii="Times New Roman" w:hAnsi="Times New Roman" w:cs="Times New Roman"/>
        </w:rPr>
        <w:t xml:space="preserve"> ve </w:t>
      </w:r>
      <w:r w:rsidR="00836F9A">
        <w:rPr>
          <w:rFonts w:ascii="Times New Roman" w:hAnsi="Times New Roman" w:cs="Times New Roman"/>
        </w:rPr>
        <w:t>6</w:t>
      </w:r>
      <w:r w:rsidR="000B1BD1">
        <w:rPr>
          <w:rFonts w:ascii="Times New Roman" w:hAnsi="Times New Roman" w:cs="Times New Roman"/>
        </w:rPr>
        <w:t>7,0</w:t>
      </w:r>
      <w:r>
        <w:rPr>
          <w:rFonts w:ascii="Times New Roman" w:hAnsi="Times New Roman" w:cs="Times New Roman"/>
        </w:rPr>
        <w:t xml:space="preserve"> puan olduğu gözlemlenmektedir (Tablo 1). Gelecek 3 aylık dönem için toplam çalışan sayısı beklentisi ise, </w:t>
      </w:r>
      <w:r w:rsidR="000B1BD1">
        <w:rPr>
          <w:rFonts w:ascii="Times New Roman" w:hAnsi="Times New Roman" w:cs="Times New Roman"/>
        </w:rPr>
        <w:t xml:space="preserve">Nisan </w:t>
      </w:r>
      <w:r w:rsidR="006F187F">
        <w:rPr>
          <w:rFonts w:ascii="Times New Roman" w:hAnsi="Times New Roman" w:cs="Times New Roman"/>
        </w:rPr>
        <w:t>201</w:t>
      </w:r>
      <w:r w:rsidR="00F93A42">
        <w:rPr>
          <w:rFonts w:ascii="Times New Roman" w:hAnsi="Times New Roman" w:cs="Times New Roman"/>
        </w:rPr>
        <w:t>8</w:t>
      </w:r>
      <w:r w:rsidR="000B1BD1">
        <w:rPr>
          <w:rFonts w:ascii="Times New Roman" w:hAnsi="Times New Roman" w:cs="Times New Roman"/>
        </w:rPr>
        <w:t>’de 88</w:t>
      </w:r>
      <w:r w:rsidR="00520B2A">
        <w:rPr>
          <w:rFonts w:ascii="Times New Roman" w:hAnsi="Times New Roman" w:cs="Times New Roman"/>
        </w:rPr>
        <w:t>,</w:t>
      </w:r>
      <w:r w:rsidR="000B1BD1">
        <w:rPr>
          <w:rFonts w:ascii="Times New Roman" w:hAnsi="Times New Roman" w:cs="Times New Roman"/>
        </w:rPr>
        <w:t>4</w:t>
      </w:r>
      <w:r w:rsidR="004729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iken,</w:t>
      </w:r>
      <w:r w:rsidR="005F51E4">
        <w:rPr>
          <w:rFonts w:ascii="Times New Roman" w:hAnsi="Times New Roman" w:cs="Times New Roman"/>
        </w:rPr>
        <w:t xml:space="preserve"> </w:t>
      </w:r>
      <w:r w:rsidR="000B1BD1">
        <w:rPr>
          <w:rFonts w:ascii="Times New Roman" w:hAnsi="Times New Roman" w:cs="Times New Roman"/>
        </w:rPr>
        <w:t>Mayıs</w:t>
      </w:r>
      <w:r w:rsidR="00543DFC">
        <w:rPr>
          <w:rFonts w:ascii="Times New Roman" w:hAnsi="Times New Roman" w:cs="Times New Roman"/>
        </w:rPr>
        <w:t xml:space="preserve"> 201</w:t>
      </w:r>
      <w:r w:rsidR="005F51E4">
        <w:rPr>
          <w:rFonts w:ascii="Times New Roman" w:hAnsi="Times New Roman" w:cs="Times New Roman"/>
        </w:rPr>
        <w:t>8</w:t>
      </w:r>
      <w:r w:rsidR="00543DFC">
        <w:rPr>
          <w:rFonts w:ascii="Times New Roman" w:hAnsi="Times New Roman" w:cs="Times New Roman"/>
        </w:rPr>
        <w:t>’de</w:t>
      </w:r>
      <w:r w:rsidR="006178F0">
        <w:rPr>
          <w:rFonts w:ascii="Times New Roman" w:hAnsi="Times New Roman" w:cs="Times New Roman"/>
        </w:rPr>
        <w:t xml:space="preserve"> yüzde</w:t>
      </w:r>
      <w:r w:rsidR="00F93A42">
        <w:rPr>
          <w:rFonts w:ascii="Times New Roman" w:hAnsi="Times New Roman" w:cs="Times New Roman"/>
        </w:rPr>
        <w:t xml:space="preserve"> </w:t>
      </w:r>
      <w:r w:rsidR="000B1BD1">
        <w:rPr>
          <w:rFonts w:ascii="Times New Roman" w:hAnsi="Times New Roman" w:cs="Times New Roman"/>
        </w:rPr>
        <w:t>1,1</w:t>
      </w:r>
      <w:r w:rsidR="0035250B">
        <w:rPr>
          <w:rFonts w:ascii="Times New Roman" w:hAnsi="Times New Roman" w:cs="Times New Roman"/>
        </w:rPr>
        <w:t xml:space="preserve"> oranında </w:t>
      </w:r>
      <w:proofErr w:type="spellStart"/>
      <w:r w:rsidR="00597811">
        <w:rPr>
          <w:rFonts w:ascii="Times New Roman" w:hAnsi="Times New Roman" w:cs="Times New Roman"/>
        </w:rPr>
        <w:t>azal</w:t>
      </w:r>
      <w:r w:rsidR="00B73A80">
        <w:rPr>
          <w:rFonts w:ascii="Times New Roman" w:hAnsi="Times New Roman" w:cs="Times New Roman"/>
        </w:rPr>
        <w:t>ak</w:t>
      </w:r>
      <w:proofErr w:type="spellEnd"/>
      <w:r w:rsidR="006A3C59">
        <w:rPr>
          <w:rFonts w:ascii="Times New Roman" w:hAnsi="Times New Roman" w:cs="Times New Roman"/>
        </w:rPr>
        <w:t xml:space="preserve"> </w:t>
      </w:r>
      <w:r w:rsidR="000B1BD1">
        <w:rPr>
          <w:rFonts w:ascii="Times New Roman" w:hAnsi="Times New Roman" w:cs="Times New Roman"/>
        </w:rPr>
        <w:t>87,4</w:t>
      </w:r>
      <w:r w:rsidR="003525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olmuştur. </w:t>
      </w:r>
    </w:p>
    <w:p w:rsidR="00415908" w:rsidRPr="001040A2" w:rsidRDefault="00415908" w:rsidP="0035250B">
      <w:pPr>
        <w:pStyle w:val="ResimYazs"/>
        <w:keepNext/>
        <w:rPr>
          <w:sz w:val="22"/>
        </w:rPr>
      </w:pPr>
      <w:r w:rsidRPr="001040A2">
        <w:rPr>
          <w:sz w:val="22"/>
        </w:rPr>
        <w:t xml:space="preserve">Tablo </w:t>
      </w:r>
      <w:r w:rsidR="0020454D" w:rsidRPr="001040A2">
        <w:rPr>
          <w:sz w:val="22"/>
        </w:rPr>
        <w:fldChar w:fldCharType="begin"/>
      </w:r>
      <w:r w:rsidR="0020454D" w:rsidRPr="001040A2">
        <w:rPr>
          <w:sz w:val="22"/>
        </w:rPr>
        <w:instrText xml:space="preserve"> SEQ Tablo \* ARABIC </w:instrText>
      </w:r>
      <w:r w:rsidR="0020454D" w:rsidRPr="001040A2">
        <w:rPr>
          <w:sz w:val="22"/>
        </w:rPr>
        <w:fldChar w:fldCharType="separate"/>
      </w:r>
      <w:r w:rsidR="00822990">
        <w:rPr>
          <w:noProof/>
          <w:sz w:val="22"/>
        </w:rPr>
        <w:t>1</w:t>
      </w:r>
      <w:r w:rsidR="0020454D" w:rsidRPr="001040A2">
        <w:rPr>
          <w:noProof/>
          <w:sz w:val="22"/>
        </w:rPr>
        <w:fldChar w:fldCharType="end"/>
      </w:r>
      <w:r w:rsidR="00F5267F" w:rsidRPr="001040A2">
        <w:rPr>
          <w:sz w:val="22"/>
        </w:rPr>
        <w:t>: İnşaat Sektörü Güven Endeksi B</w:t>
      </w:r>
      <w:r w:rsidRPr="001040A2">
        <w:rPr>
          <w:sz w:val="22"/>
        </w:rPr>
        <w:t>ileşenleri (</w:t>
      </w:r>
      <w:r w:rsidR="00520B2A">
        <w:rPr>
          <w:sz w:val="22"/>
        </w:rPr>
        <w:t>Nisan</w:t>
      </w:r>
      <w:r w:rsidR="00BF056D" w:rsidRPr="001040A2">
        <w:rPr>
          <w:sz w:val="22"/>
        </w:rPr>
        <w:t xml:space="preserve"> 2018</w:t>
      </w:r>
      <w:r w:rsidR="00A4252F">
        <w:rPr>
          <w:sz w:val="22"/>
        </w:rPr>
        <w:t xml:space="preserve"> – Mayıs 2018</w:t>
      </w:r>
      <w:r w:rsidRPr="001040A2">
        <w:rPr>
          <w:sz w:val="22"/>
        </w:rPr>
        <w:t>)</w:t>
      </w:r>
    </w:p>
    <w:tbl>
      <w:tblPr>
        <w:tblStyle w:val="AkGlgeleme-Vurgu11"/>
        <w:tblW w:w="9442" w:type="dxa"/>
        <w:tblLook w:val="04A0" w:firstRow="1" w:lastRow="0" w:firstColumn="1" w:lastColumn="0" w:noHBand="0" w:noVBand="1"/>
      </w:tblPr>
      <w:tblGrid>
        <w:gridCol w:w="6890"/>
        <w:gridCol w:w="1224"/>
        <w:gridCol w:w="1328"/>
      </w:tblGrid>
      <w:tr w:rsidR="00DC3CEB" w:rsidRPr="00DC3CEB" w:rsidTr="00DC3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DC3CEB" w:rsidRPr="00DC3CEB" w:rsidRDefault="00DC3CEB" w:rsidP="00DC3CEB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DC3CEB" w:rsidRPr="00DC3CEB" w:rsidRDefault="00DC3CEB" w:rsidP="00DC3C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0B1BD1" w:rsidRPr="00415908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0B1BD1" w:rsidRPr="00415908" w:rsidRDefault="000B1BD1" w:rsidP="000B1B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4" w:type="dxa"/>
            <w:noWrap/>
          </w:tcPr>
          <w:p w:rsidR="000B1BD1" w:rsidRPr="00415908" w:rsidRDefault="000B1BD1" w:rsidP="000B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Nis.18</w:t>
            </w:r>
          </w:p>
        </w:tc>
        <w:tc>
          <w:tcPr>
            <w:tcW w:w="1328" w:type="dxa"/>
            <w:noWrap/>
          </w:tcPr>
          <w:p w:rsidR="000B1BD1" w:rsidRPr="00415908" w:rsidRDefault="000B1BD1" w:rsidP="000B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May.18</w:t>
            </w:r>
          </w:p>
        </w:tc>
      </w:tr>
      <w:tr w:rsidR="000B1BD1" w:rsidRPr="00DC3CEB" w:rsidTr="00941751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0B1BD1" w:rsidRPr="00DC3CEB" w:rsidRDefault="000B1BD1" w:rsidP="000B1BD1">
            <w:pPr>
              <w:rPr>
                <w:rFonts w:ascii="Calibri" w:eastAsia="Times New Roman" w:hAnsi="Calibri" w:cs="Times New Roman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</w:rPr>
              <w:t>İnşaat Sektörü Güven Endeksi</w:t>
            </w:r>
          </w:p>
        </w:tc>
        <w:tc>
          <w:tcPr>
            <w:tcW w:w="1224" w:type="dxa"/>
            <w:noWrap/>
          </w:tcPr>
          <w:p w:rsidR="000B1BD1" w:rsidRPr="00DC3CEB" w:rsidRDefault="000B1BD1" w:rsidP="000B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78,8</w:t>
            </w:r>
          </w:p>
        </w:tc>
        <w:tc>
          <w:tcPr>
            <w:tcW w:w="1328" w:type="dxa"/>
            <w:noWrap/>
          </w:tcPr>
          <w:p w:rsidR="000B1BD1" w:rsidRPr="00DC3CEB" w:rsidRDefault="000B1BD1" w:rsidP="000B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77,2</w:t>
            </w:r>
          </w:p>
        </w:tc>
      </w:tr>
      <w:tr w:rsidR="000B1BD1" w:rsidRPr="00DC3CEB" w:rsidTr="009417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hideMark/>
          </w:tcPr>
          <w:p w:rsidR="000B1BD1" w:rsidRPr="00DC3CEB" w:rsidRDefault="000B1BD1" w:rsidP="000B1BD1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</w:rPr>
              <w:t>Alınan kayıtlı s</w:t>
            </w: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iparişlerin mevcut düzeyi</w:t>
            </w:r>
          </w:p>
        </w:tc>
        <w:tc>
          <w:tcPr>
            <w:tcW w:w="1224" w:type="dxa"/>
            <w:noWrap/>
          </w:tcPr>
          <w:p w:rsidR="000B1BD1" w:rsidRPr="00DC3CEB" w:rsidRDefault="000B1BD1" w:rsidP="000B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69,2</w:t>
            </w:r>
          </w:p>
        </w:tc>
        <w:tc>
          <w:tcPr>
            <w:tcW w:w="1328" w:type="dxa"/>
            <w:noWrap/>
          </w:tcPr>
          <w:p w:rsidR="000B1BD1" w:rsidRPr="00DC3CEB" w:rsidRDefault="000B1BD1" w:rsidP="000B1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67,0</w:t>
            </w:r>
          </w:p>
        </w:tc>
      </w:tr>
      <w:tr w:rsidR="000B1BD1" w:rsidRPr="00DC3CEB" w:rsidTr="00941751">
        <w:trPr>
          <w:trHeight w:val="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90" w:type="dxa"/>
            <w:noWrap/>
            <w:hideMark/>
          </w:tcPr>
          <w:p w:rsidR="000B1BD1" w:rsidRPr="00DC3CEB" w:rsidRDefault="000B1BD1" w:rsidP="000B1BD1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DC3CEB">
              <w:rPr>
                <w:rFonts w:ascii="Calibri" w:eastAsia="Times New Roman" w:hAnsi="Calibri" w:cs="Times New Roman"/>
                <w:b w:val="0"/>
                <w:color w:val="000000"/>
              </w:rPr>
              <w:t>Toplam çalışan sayısı beklentisi (gelecek 3 aylık dönemde)</w:t>
            </w:r>
          </w:p>
        </w:tc>
        <w:tc>
          <w:tcPr>
            <w:tcW w:w="1224" w:type="dxa"/>
            <w:noWrap/>
          </w:tcPr>
          <w:p w:rsidR="000B1BD1" w:rsidRPr="00DC3CEB" w:rsidRDefault="000B1BD1" w:rsidP="000B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88,4</w:t>
            </w:r>
          </w:p>
        </w:tc>
        <w:tc>
          <w:tcPr>
            <w:tcW w:w="1328" w:type="dxa"/>
            <w:noWrap/>
          </w:tcPr>
          <w:p w:rsidR="000B1BD1" w:rsidRPr="00DC3CEB" w:rsidRDefault="000B1BD1" w:rsidP="000B1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87,4</w:t>
            </w:r>
          </w:p>
        </w:tc>
      </w:tr>
    </w:tbl>
    <w:p w:rsidR="00E12C81" w:rsidRDefault="00E12C81" w:rsidP="00472839">
      <w:pPr>
        <w:pStyle w:val="Balk2"/>
      </w:pPr>
      <w:r w:rsidRPr="002B5EAF">
        <w:lastRenderedPageBreak/>
        <w:t>Hizmet sektörü güven endeksi</w:t>
      </w:r>
    </w:p>
    <w:p w:rsidR="00415908" w:rsidRDefault="0067120F" w:rsidP="004159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054D8A">
        <w:rPr>
          <w:rFonts w:ascii="Times New Roman" w:hAnsi="Times New Roman" w:cs="Times New Roman"/>
        </w:rPr>
        <w:t>8</w:t>
      </w:r>
      <w:r w:rsidR="00415908" w:rsidRPr="002B5EAF">
        <w:rPr>
          <w:rFonts w:ascii="Times New Roman" w:hAnsi="Times New Roman" w:cs="Times New Roman"/>
        </w:rPr>
        <w:t xml:space="preserve"> </w:t>
      </w:r>
      <w:r w:rsidR="00B60799">
        <w:rPr>
          <w:rFonts w:ascii="Times New Roman" w:hAnsi="Times New Roman" w:cs="Times New Roman"/>
        </w:rPr>
        <w:t>Mayıs</w:t>
      </w:r>
      <w:r w:rsidR="00415908" w:rsidRPr="002B5EAF">
        <w:rPr>
          <w:rFonts w:ascii="Times New Roman" w:hAnsi="Times New Roman" w:cs="Times New Roman"/>
        </w:rPr>
        <w:t xml:space="preserve"> ayı mevsimlikten arındırılmış hizmet sektörü güven endeksi incelendiğinde </w:t>
      </w:r>
      <w:r w:rsidR="00415908">
        <w:rPr>
          <w:rFonts w:ascii="Times New Roman" w:hAnsi="Times New Roman" w:cs="Times New Roman"/>
        </w:rPr>
        <w:t>(Şekil 2)</w:t>
      </w:r>
      <w:r>
        <w:rPr>
          <w:rFonts w:ascii="Times New Roman" w:hAnsi="Times New Roman" w:cs="Times New Roman"/>
        </w:rPr>
        <w:t>, 201</w:t>
      </w:r>
      <w:r w:rsidR="00054D8A">
        <w:rPr>
          <w:rFonts w:ascii="Times New Roman" w:hAnsi="Times New Roman" w:cs="Times New Roman"/>
        </w:rPr>
        <w:t>7</w:t>
      </w:r>
      <w:r w:rsidR="00B82CA4">
        <w:rPr>
          <w:rFonts w:ascii="Times New Roman" w:hAnsi="Times New Roman" w:cs="Times New Roman"/>
        </w:rPr>
        <w:t xml:space="preserve"> yılı </w:t>
      </w:r>
      <w:r w:rsidR="00B60799">
        <w:rPr>
          <w:rFonts w:ascii="Times New Roman" w:hAnsi="Times New Roman" w:cs="Times New Roman"/>
        </w:rPr>
        <w:t>Mayıs</w:t>
      </w:r>
      <w:r w:rsidR="005B1EAF">
        <w:rPr>
          <w:rFonts w:ascii="Times New Roman" w:hAnsi="Times New Roman" w:cs="Times New Roman"/>
        </w:rPr>
        <w:t xml:space="preserve"> </w:t>
      </w:r>
      <w:r w:rsidR="004701F9">
        <w:rPr>
          <w:rFonts w:ascii="Times New Roman" w:hAnsi="Times New Roman" w:cs="Times New Roman"/>
        </w:rPr>
        <w:t xml:space="preserve">ayına göre yüzde </w:t>
      </w:r>
      <w:r w:rsidR="00B60799">
        <w:rPr>
          <w:rFonts w:ascii="Times New Roman" w:hAnsi="Times New Roman" w:cs="Times New Roman"/>
        </w:rPr>
        <w:t>9,8</w:t>
      </w:r>
      <w:r w:rsidR="00BB0798">
        <w:rPr>
          <w:rFonts w:ascii="Times New Roman" w:hAnsi="Times New Roman" w:cs="Times New Roman"/>
        </w:rPr>
        <w:t xml:space="preserve"> oranında </w:t>
      </w:r>
      <w:r w:rsidR="0095774C">
        <w:rPr>
          <w:rFonts w:ascii="Times New Roman" w:hAnsi="Times New Roman" w:cs="Times New Roman"/>
        </w:rPr>
        <w:t>a</w:t>
      </w:r>
      <w:r w:rsidR="00D40056">
        <w:rPr>
          <w:rFonts w:ascii="Times New Roman" w:hAnsi="Times New Roman" w:cs="Times New Roman"/>
        </w:rPr>
        <w:t>zalış</w:t>
      </w:r>
      <w:r w:rsidR="00BB0798">
        <w:rPr>
          <w:rFonts w:ascii="Times New Roman" w:hAnsi="Times New Roman" w:cs="Times New Roman"/>
        </w:rPr>
        <w:t xml:space="preserve"> gösterdiği</w:t>
      </w:r>
      <w:r w:rsidR="004701F9">
        <w:rPr>
          <w:rFonts w:ascii="Times New Roman" w:hAnsi="Times New Roman" w:cs="Times New Roman"/>
        </w:rPr>
        <w:t xml:space="preserve"> (</w:t>
      </w:r>
      <w:r w:rsidR="00B60799">
        <w:rPr>
          <w:rFonts w:ascii="Times New Roman" w:hAnsi="Times New Roman" w:cs="Times New Roman"/>
        </w:rPr>
        <w:t>9,9</w:t>
      </w:r>
      <w:r w:rsidR="00054D8A">
        <w:rPr>
          <w:rFonts w:ascii="Times New Roman" w:hAnsi="Times New Roman" w:cs="Times New Roman"/>
        </w:rPr>
        <w:t xml:space="preserve"> </w:t>
      </w:r>
      <w:r w:rsidR="0095774C">
        <w:rPr>
          <w:rFonts w:ascii="Times New Roman" w:hAnsi="Times New Roman" w:cs="Times New Roman"/>
        </w:rPr>
        <w:t xml:space="preserve">puan) ve </w:t>
      </w:r>
      <w:r w:rsidR="006D157A">
        <w:rPr>
          <w:rFonts w:ascii="Times New Roman" w:hAnsi="Times New Roman" w:cs="Times New Roman"/>
        </w:rPr>
        <w:t>9</w:t>
      </w:r>
      <w:r w:rsidR="00B60799">
        <w:rPr>
          <w:rFonts w:ascii="Times New Roman" w:hAnsi="Times New Roman" w:cs="Times New Roman"/>
        </w:rPr>
        <w:t>2,0</w:t>
      </w:r>
      <w:r w:rsidR="00CC0799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 xml:space="preserve">puana </w:t>
      </w:r>
      <w:r w:rsidR="00D40056">
        <w:rPr>
          <w:rFonts w:ascii="Times New Roman" w:hAnsi="Times New Roman" w:cs="Times New Roman"/>
        </w:rPr>
        <w:t>düştüğü</w:t>
      </w:r>
      <w:r w:rsidR="00415908" w:rsidRPr="002B5EAF">
        <w:rPr>
          <w:rFonts w:ascii="Times New Roman" w:hAnsi="Times New Roman" w:cs="Times New Roman"/>
        </w:rPr>
        <w:t xml:space="preserve"> göze çarpmaktadır.</w:t>
      </w:r>
      <w:r w:rsidR="00DB0FFC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201</w:t>
      </w:r>
      <w:r w:rsidR="00E42435">
        <w:rPr>
          <w:rFonts w:ascii="Times New Roman" w:hAnsi="Times New Roman" w:cs="Times New Roman"/>
        </w:rPr>
        <w:t>8</w:t>
      </w:r>
      <w:r w:rsidR="00415908" w:rsidRPr="002B5EAF">
        <w:rPr>
          <w:rFonts w:ascii="Times New Roman" w:hAnsi="Times New Roman" w:cs="Times New Roman"/>
        </w:rPr>
        <w:t xml:space="preserve"> yılı </w:t>
      </w:r>
      <w:r w:rsidR="00B60799">
        <w:rPr>
          <w:rFonts w:ascii="Times New Roman" w:hAnsi="Times New Roman" w:cs="Times New Roman"/>
        </w:rPr>
        <w:t>Nisan</w:t>
      </w:r>
      <w:r w:rsidR="00415908" w:rsidRPr="002B5EAF">
        <w:rPr>
          <w:rFonts w:ascii="Times New Roman" w:hAnsi="Times New Roman" w:cs="Times New Roman"/>
        </w:rPr>
        <w:t xml:space="preserve"> </w:t>
      </w:r>
      <w:r w:rsidR="00CC0799">
        <w:rPr>
          <w:rFonts w:ascii="Times New Roman" w:hAnsi="Times New Roman" w:cs="Times New Roman"/>
        </w:rPr>
        <w:t xml:space="preserve">ayına göre bakıldığında ise </w:t>
      </w:r>
      <w:r w:rsidR="00730B95">
        <w:rPr>
          <w:rFonts w:ascii="Times New Roman" w:hAnsi="Times New Roman" w:cs="Times New Roman"/>
        </w:rPr>
        <w:t xml:space="preserve">yüzde </w:t>
      </w:r>
      <w:r w:rsidR="00B60799">
        <w:rPr>
          <w:rFonts w:ascii="Times New Roman" w:hAnsi="Times New Roman" w:cs="Times New Roman"/>
        </w:rPr>
        <w:t xml:space="preserve">5,3 </w:t>
      </w:r>
      <w:r w:rsidR="00415908" w:rsidRPr="002B5EAF">
        <w:rPr>
          <w:rFonts w:ascii="Times New Roman" w:hAnsi="Times New Roman" w:cs="Times New Roman"/>
        </w:rPr>
        <w:t xml:space="preserve">oranında </w:t>
      </w:r>
      <w:r w:rsidR="00AC4AAE">
        <w:rPr>
          <w:rFonts w:ascii="Times New Roman" w:hAnsi="Times New Roman" w:cs="Times New Roman"/>
        </w:rPr>
        <w:t>azaldığı</w:t>
      </w:r>
      <w:r w:rsidR="000319EB">
        <w:rPr>
          <w:rFonts w:ascii="Times New Roman" w:hAnsi="Times New Roman" w:cs="Times New Roman"/>
        </w:rPr>
        <w:t xml:space="preserve"> (</w:t>
      </w:r>
      <w:r w:rsidR="00B60799">
        <w:rPr>
          <w:rFonts w:ascii="Times New Roman" w:hAnsi="Times New Roman" w:cs="Times New Roman"/>
        </w:rPr>
        <w:t>5,1</w:t>
      </w:r>
      <w:r w:rsidR="00415908" w:rsidRPr="002B5EAF">
        <w:rPr>
          <w:rFonts w:ascii="Times New Roman" w:hAnsi="Times New Roman" w:cs="Times New Roman"/>
        </w:rPr>
        <w:t xml:space="preserve"> puan) görülmektedir. </w:t>
      </w:r>
    </w:p>
    <w:p w:rsidR="00E12C81" w:rsidRDefault="00E12C81" w:rsidP="00415908">
      <w:pPr>
        <w:jc w:val="both"/>
        <w:rPr>
          <w:rFonts w:ascii="Times New Roman" w:hAnsi="Times New Roman" w:cs="Times New Roman"/>
        </w:rPr>
      </w:pPr>
      <w:r w:rsidRPr="002B5EAF">
        <w:rPr>
          <w:rFonts w:ascii="Times New Roman" w:hAnsi="Times New Roman" w:cs="Times New Roman"/>
        </w:rPr>
        <w:t xml:space="preserve">Mevsimlikten arındırılmamış </w:t>
      </w:r>
      <w:r w:rsidR="00415908">
        <w:rPr>
          <w:rFonts w:ascii="Times New Roman" w:hAnsi="Times New Roman" w:cs="Times New Roman"/>
        </w:rPr>
        <w:t>endeks ise</w:t>
      </w:r>
      <w:r w:rsidR="00A332D6">
        <w:rPr>
          <w:rFonts w:ascii="Times New Roman" w:hAnsi="Times New Roman" w:cs="Times New Roman"/>
        </w:rPr>
        <w:t>, 201</w:t>
      </w:r>
      <w:r w:rsidR="00E42435">
        <w:rPr>
          <w:rFonts w:ascii="Times New Roman" w:hAnsi="Times New Roman" w:cs="Times New Roman"/>
        </w:rPr>
        <w:t>8</w:t>
      </w:r>
      <w:r w:rsidR="0067120F">
        <w:rPr>
          <w:rFonts w:ascii="Times New Roman" w:hAnsi="Times New Roman" w:cs="Times New Roman"/>
        </w:rPr>
        <w:t xml:space="preserve"> yılının </w:t>
      </w:r>
      <w:r w:rsidR="00B60799">
        <w:rPr>
          <w:rFonts w:ascii="Times New Roman" w:hAnsi="Times New Roman" w:cs="Times New Roman"/>
        </w:rPr>
        <w:t>Nisan</w:t>
      </w:r>
      <w:r w:rsidR="00054D8A">
        <w:rPr>
          <w:rFonts w:ascii="Times New Roman" w:hAnsi="Times New Roman" w:cs="Times New Roman"/>
        </w:rPr>
        <w:t xml:space="preserve"> </w:t>
      </w:r>
      <w:r w:rsidR="005132FC">
        <w:rPr>
          <w:rFonts w:ascii="Times New Roman" w:hAnsi="Times New Roman" w:cs="Times New Roman"/>
        </w:rPr>
        <w:t xml:space="preserve">ayına göre yüzde </w:t>
      </w:r>
      <w:r w:rsidR="00B60799">
        <w:rPr>
          <w:rFonts w:ascii="Times New Roman" w:hAnsi="Times New Roman" w:cs="Times New Roman"/>
        </w:rPr>
        <w:t>2,4</w:t>
      </w:r>
      <w:r w:rsidRPr="002B5EAF">
        <w:rPr>
          <w:rFonts w:ascii="Times New Roman" w:hAnsi="Times New Roman" w:cs="Times New Roman"/>
        </w:rPr>
        <w:t xml:space="preserve"> oranında </w:t>
      </w:r>
      <w:r w:rsidR="001B7E16">
        <w:rPr>
          <w:rFonts w:ascii="Times New Roman" w:hAnsi="Times New Roman" w:cs="Times New Roman"/>
        </w:rPr>
        <w:t>a</w:t>
      </w:r>
      <w:r w:rsidR="00B60799">
        <w:rPr>
          <w:rFonts w:ascii="Times New Roman" w:hAnsi="Times New Roman" w:cs="Times New Roman"/>
        </w:rPr>
        <w:t>zalara</w:t>
      </w:r>
      <w:r w:rsidR="001B7E16">
        <w:rPr>
          <w:rFonts w:ascii="Times New Roman" w:hAnsi="Times New Roman" w:cs="Times New Roman"/>
        </w:rPr>
        <w:t>k</w:t>
      </w:r>
      <w:r w:rsidR="00DB0FFC">
        <w:rPr>
          <w:rFonts w:ascii="Times New Roman" w:hAnsi="Times New Roman" w:cs="Times New Roman"/>
        </w:rPr>
        <w:t xml:space="preserve"> (</w:t>
      </w:r>
      <w:r w:rsidR="00B60799">
        <w:rPr>
          <w:rFonts w:ascii="Times New Roman" w:hAnsi="Times New Roman" w:cs="Times New Roman"/>
        </w:rPr>
        <w:t>2,4</w:t>
      </w:r>
      <w:r w:rsidR="00C41B6B">
        <w:rPr>
          <w:rFonts w:ascii="Times New Roman" w:hAnsi="Times New Roman" w:cs="Times New Roman"/>
        </w:rPr>
        <w:t xml:space="preserve"> </w:t>
      </w:r>
      <w:r w:rsidR="00BB0798">
        <w:rPr>
          <w:rFonts w:ascii="Times New Roman" w:hAnsi="Times New Roman" w:cs="Times New Roman"/>
        </w:rPr>
        <w:t>p</w:t>
      </w:r>
      <w:r w:rsidR="00EE3747">
        <w:rPr>
          <w:rFonts w:ascii="Times New Roman" w:hAnsi="Times New Roman" w:cs="Times New Roman"/>
        </w:rPr>
        <w:t>u</w:t>
      </w:r>
      <w:r w:rsidR="00CC0799">
        <w:rPr>
          <w:rFonts w:ascii="Times New Roman" w:hAnsi="Times New Roman" w:cs="Times New Roman"/>
        </w:rPr>
        <w:t>an)</w:t>
      </w:r>
      <w:r w:rsidR="00C8117B">
        <w:rPr>
          <w:rFonts w:ascii="Times New Roman" w:hAnsi="Times New Roman" w:cs="Times New Roman"/>
        </w:rPr>
        <w:t xml:space="preserve"> </w:t>
      </w:r>
      <w:r w:rsidR="00B60799">
        <w:rPr>
          <w:rFonts w:ascii="Times New Roman" w:hAnsi="Times New Roman" w:cs="Times New Roman"/>
        </w:rPr>
        <w:t>98,3</w:t>
      </w:r>
      <w:r w:rsidR="00415908">
        <w:rPr>
          <w:rFonts w:ascii="Times New Roman" w:hAnsi="Times New Roman" w:cs="Times New Roman"/>
        </w:rPr>
        <w:t xml:space="preserve"> olurken, </w:t>
      </w:r>
      <w:r w:rsidR="00054D8A">
        <w:rPr>
          <w:rFonts w:ascii="Times New Roman" w:hAnsi="Times New Roman" w:cs="Times New Roman"/>
        </w:rPr>
        <w:t>201</w:t>
      </w:r>
      <w:r w:rsidR="00B60799">
        <w:rPr>
          <w:rFonts w:ascii="Times New Roman" w:hAnsi="Times New Roman" w:cs="Times New Roman"/>
        </w:rPr>
        <w:t>8</w:t>
      </w:r>
      <w:r w:rsidRPr="002B5EAF">
        <w:rPr>
          <w:rFonts w:ascii="Times New Roman" w:hAnsi="Times New Roman" w:cs="Times New Roman"/>
        </w:rPr>
        <w:t xml:space="preserve"> yılı </w:t>
      </w:r>
      <w:r w:rsidR="00B60799">
        <w:rPr>
          <w:rFonts w:ascii="Times New Roman" w:hAnsi="Times New Roman" w:cs="Times New Roman"/>
        </w:rPr>
        <w:t xml:space="preserve">Mayıs </w:t>
      </w:r>
      <w:r w:rsidRPr="002B5EAF">
        <w:rPr>
          <w:rFonts w:ascii="Times New Roman" w:hAnsi="Times New Roman" w:cs="Times New Roman"/>
        </w:rPr>
        <w:t>ayı</w:t>
      </w:r>
      <w:r w:rsidR="00DB0FFC">
        <w:rPr>
          <w:rFonts w:ascii="Times New Roman" w:hAnsi="Times New Roman" w:cs="Times New Roman"/>
        </w:rPr>
        <w:t>na göre</w:t>
      </w:r>
      <w:r w:rsidR="00EE3747">
        <w:rPr>
          <w:rFonts w:ascii="Times New Roman" w:hAnsi="Times New Roman" w:cs="Times New Roman"/>
        </w:rPr>
        <w:t xml:space="preserve"> </w:t>
      </w:r>
      <w:r w:rsidR="00B60799">
        <w:rPr>
          <w:rFonts w:ascii="Times New Roman" w:hAnsi="Times New Roman" w:cs="Times New Roman"/>
        </w:rPr>
        <w:t>10,</w:t>
      </w:r>
      <w:r w:rsidR="00B73A80">
        <w:rPr>
          <w:rFonts w:ascii="Times New Roman" w:hAnsi="Times New Roman" w:cs="Times New Roman"/>
        </w:rPr>
        <w:t>0</w:t>
      </w:r>
      <w:r w:rsidR="00415908">
        <w:rPr>
          <w:rFonts w:ascii="Times New Roman" w:hAnsi="Times New Roman" w:cs="Times New Roman"/>
        </w:rPr>
        <w:t xml:space="preserve"> oranında </w:t>
      </w:r>
      <w:r w:rsidR="00054D8A">
        <w:rPr>
          <w:rFonts w:ascii="Times New Roman" w:hAnsi="Times New Roman" w:cs="Times New Roman"/>
        </w:rPr>
        <w:t>(</w:t>
      </w:r>
      <w:r w:rsidR="00B60799">
        <w:rPr>
          <w:rFonts w:ascii="Times New Roman" w:hAnsi="Times New Roman" w:cs="Times New Roman"/>
        </w:rPr>
        <w:t>10,</w:t>
      </w:r>
      <w:r w:rsidR="00E732E5">
        <w:rPr>
          <w:rFonts w:ascii="Times New Roman" w:hAnsi="Times New Roman" w:cs="Times New Roman"/>
        </w:rPr>
        <w:t>9</w:t>
      </w:r>
      <w:r w:rsidR="005B1EAF">
        <w:rPr>
          <w:rFonts w:ascii="Times New Roman" w:hAnsi="Times New Roman" w:cs="Times New Roman"/>
        </w:rPr>
        <w:t xml:space="preserve"> </w:t>
      </w:r>
      <w:r w:rsidR="00415908" w:rsidRPr="002B5EAF">
        <w:rPr>
          <w:rFonts w:ascii="Times New Roman" w:hAnsi="Times New Roman" w:cs="Times New Roman"/>
        </w:rPr>
        <w:t>puan)</w:t>
      </w:r>
      <w:r w:rsidR="00415908">
        <w:rPr>
          <w:rFonts w:ascii="Times New Roman" w:hAnsi="Times New Roman" w:cs="Times New Roman"/>
        </w:rPr>
        <w:t xml:space="preserve"> </w:t>
      </w:r>
      <w:r w:rsidR="00D40056">
        <w:rPr>
          <w:rFonts w:ascii="Times New Roman" w:hAnsi="Times New Roman" w:cs="Times New Roman"/>
        </w:rPr>
        <w:t>azalmıştır</w:t>
      </w:r>
      <w:r w:rsidRPr="002B5EAF">
        <w:rPr>
          <w:rFonts w:ascii="Times New Roman" w:hAnsi="Times New Roman" w:cs="Times New Roman"/>
        </w:rPr>
        <w:t>.</w:t>
      </w:r>
    </w:p>
    <w:p w:rsidR="00735C81" w:rsidRPr="002B5EAF" w:rsidRDefault="00735C81" w:rsidP="00735C81">
      <w:pPr>
        <w:pStyle w:val="ResimYazs"/>
        <w:keepNext/>
        <w:rPr>
          <w:rFonts w:ascii="Times New Roman" w:hAnsi="Times New Roman" w:cs="Times New Roman"/>
          <w:sz w:val="22"/>
          <w:szCs w:val="22"/>
        </w:rPr>
      </w:pPr>
      <w:r w:rsidRPr="002B5EAF">
        <w:rPr>
          <w:rFonts w:ascii="Times New Roman" w:hAnsi="Times New Roman" w:cs="Times New Roman"/>
          <w:sz w:val="22"/>
          <w:szCs w:val="22"/>
        </w:rPr>
        <w:t xml:space="preserve">Şekil </w:t>
      </w:r>
      <w:r w:rsidR="00472839">
        <w:rPr>
          <w:rFonts w:ascii="Times New Roman" w:hAnsi="Times New Roman" w:cs="Times New Roman"/>
          <w:sz w:val="22"/>
          <w:szCs w:val="22"/>
        </w:rPr>
        <w:t>2</w:t>
      </w:r>
      <w:r w:rsidR="00F5267F">
        <w:rPr>
          <w:rFonts w:ascii="Times New Roman" w:hAnsi="Times New Roman" w:cs="Times New Roman"/>
          <w:sz w:val="22"/>
          <w:szCs w:val="22"/>
        </w:rPr>
        <w:t>: Hizmet Sektörü Güven E</w:t>
      </w:r>
      <w:r w:rsidRPr="002B5EAF">
        <w:rPr>
          <w:rFonts w:ascii="Times New Roman" w:hAnsi="Times New Roman" w:cs="Times New Roman"/>
          <w:sz w:val="22"/>
          <w:szCs w:val="22"/>
        </w:rPr>
        <w:t>ndeksi (</w:t>
      </w:r>
      <w:r w:rsidR="00292A77">
        <w:rPr>
          <w:rFonts w:ascii="Times New Roman" w:hAnsi="Times New Roman" w:cs="Times New Roman"/>
          <w:sz w:val="22"/>
          <w:szCs w:val="22"/>
        </w:rPr>
        <w:t>Mayıs</w:t>
      </w:r>
      <w:r w:rsidR="009E3952">
        <w:rPr>
          <w:rFonts w:ascii="Times New Roman" w:hAnsi="Times New Roman" w:cs="Times New Roman"/>
          <w:sz w:val="22"/>
          <w:szCs w:val="22"/>
        </w:rPr>
        <w:t xml:space="preserve"> </w:t>
      </w:r>
      <w:r w:rsidR="0067120F">
        <w:rPr>
          <w:rFonts w:ascii="Times New Roman" w:hAnsi="Times New Roman" w:cs="Times New Roman"/>
          <w:sz w:val="22"/>
          <w:szCs w:val="22"/>
        </w:rPr>
        <w:t>2017</w:t>
      </w:r>
      <w:r w:rsidR="00EA2371">
        <w:rPr>
          <w:rFonts w:ascii="Times New Roman" w:hAnsi="Times New Roman" w:cs="Times New Roman"/>
          <w:sz w:val="22"/>
          <w:szCs w:val="22"/>
        </w:rPr>
        <w:t xml:space="preserve"> – </w:t>
      </w:r>
      <w:r w:rsidR="00292A77">
        <w:rPr>
          <w:rFonts w:ascii="Times New Roman" w:hAnsi="Times New Roman" w:cs="Times New Roman"/>
          <w:sz w:val="22"/>
          <w:szCs w:val="22"/>
        </w:rPr>
        <w:t>Mayıs</w:t>
      </w:r>
      <w:r w:rsidR="00EA2371">
        <w:rPr>
          <w:rFonts w:ascii="Times New Roman" w:hAnsi="Times New Roman" w:cs="Times New Roman"/>
          <w:sz w:val="22"/>
          <w:szCs w:val="22"/>
        </w:rPr>
        <w:t xml:space="preserve"> </w:t>
      </w:r>
      <w:r w:rsidR="00054D8A">
        <w:rPr>
          <w:rFonts w:ascii="Times New Roman" w:hAnsi="Times New Roman" w:cs="Times New Roman"/>
          <w:sz w:val="22"/>
          <w:szCs w:val="22"/>
        </w:rPr>
        <w:t>2018</w:t>
      </w:r>
      <w:r w:rsidRPr="002B5EAF">
        <w:rPr>
          <w:rFonts w:ascii="Times New Roman" w:hAnsi="Times New Roman" w:cs="Times New Roman"/>
          <w:sz w:val="22"/>
          <w:szCs w:val="22"/>
        </w:rPr>
        <w:t>)</w:t>
      </w:r>
    </w:p>
    <w:p w:rsidR="00E12C81" w:rsidRPr="002B5EAF" w:rsidRDefault="00292A77" w:rsidP="00F2387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E2248CE" wp14:editId="38640879">
            <wp:extent cx="5760720" cy="2408555"/>
            <wp:effectExtent l="0" t="0" r="11430" b="1079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15908" w:rsidRPr="002B5EAF" w:rsidRDefault="00415908" w:rsidP="00DC3C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Mevsim etkilerinden arındırılmış hizmet sektörü güven endeksinin oluştuğu alt kalemler incelendiğinde (Tablo 2),</w:t>
      </w:r>
      <w:r w:rsidR="005F51E4">
        <w:rPr>
          <w:rFonts w:ascii="Times New Roman" w:hAnsi="Times New Roman" w:cs="Times New Roman"/>
        </w:rPr>
        <w:t xml:space="preserve"> </w:t>
      </w:r>
      <w:r w:rsidR="00A4252F">
        <w:rPr>
          <w:rFonts w:ascii="Times New Roman" w:hAnsi="Times New Roman" w:cs="Times New Roman"/>
        </w:rPr>
        <w:t>Nisan</w:t>
      </w:r>
      <w:r w:rsidR="007C3780">
        <w:rPr>
          <w:rFonts w:ascii="Times New Roman" w:hAnsi="Times New Roman" w:cs="Times New Roman"/>
        </w:rPr>
        <w:t xml:space="preserve"> 201</w:t>
      </w:r>
      <w:r w:rsidR="004A214F">
        <w:rPr>
          <w:rFonts w:ascii="Times New Roman" w:hAnsi="Times New Roman" w:cs="Times New Roman"/>
        </w:rPr>
        <w:t>8</w:t>
      </w:r>
      <w:r w:rsidR="007C3780">
        <w:rPr>
          <w:rFonts w:ascii="Times New Roman" w:hAnsi="Times New Roman" w:cs="Times New Roman"/>
        </w:rPr>
        <w:t>’d</w:t>
      </w:r>
      <w:r w:rsidR="00E50E81">
        <w:rPr>
          <w:rFonts w:ascii="Times New Roman" w:hAnsi="Times New Roman" w:cs="Times New Roman"/>
        </w:rPr>
        <w:t xml:space="preserve">e </w:t>
      </w:r>
      <w:r w:rsidR="00FE6A3D">
        <w:rPr>
          <w:rFonts w:ascii="Times New Roman" w:hAnsi="Times New Roman" w:cs="Times New Roman"/>
        </w:rPr>
        <w:t>9</w:t>
      </w:r>
      <w:r w:rsidR="00A4252F">
        <w:rPr>
          <w:rFonts w:ascii="Times New Roman" w:hAnsi="Times New Roman" w:cs="Times New Roman"/>
        </w:rPr>
        <w:t>3,</w:t>
      </w:r>
      <w:r w:rsidR="003A209E">
        <w:rPr>
          <w:rFonts w:ascii="Times New Roman" w:hAnsi="Times New Roman" w:cs="Times New Roman"/>
        </w:rPr>
        <w:t>5</w:t>
      </w:r>
      <w:r w:rsidR="00647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puan olan iş durumunun,</w:t>
      </w:r>
      <w:r w:rsidR="00F67B2E">
        <w:rPr>
          <w:rFonts w:ascii="Times New Roman" w:hAnsi="Times New Roman" w:cs="Times New Roman"/>
        </w:rPr>
        <w:t xml:space="preserve"> </w:t>
      </w:r>
      <w:r w:rsidR="00A4252F">
        <w:rPr>
          <w:rFonts w:ascii="Times New Roman" w:hAnsi="Times New Roman" w:cs="Times New Roman"/>
        </w:rPr>
        <w:t>Mayıs 2018’de yü</w:t>
      </w:r>
      <w:r w:rsidR="0072469D">
        <w:rPr>
          <w:rFonts w:ascii="Times New Roman" w:hAnsi="Times New Roman" w:cs="Times New Roman"/>
        </w:rPr>
        <w:t>zde 5,0</w:t>
      </w:r>
      <w:r w:rsidR="00EE168A">
        <w:rPr>
          <w:rFonts w:ascii="Times New Roman" w:hAnsi="Times New Roman" w:cs="Times New Roman"/>
        </w:rPr>
        <w:t xml:space="preserve"> oranında (</w:t>
      </w:r>
      <w:r w:rsidR="00A4252F">
        <w:rPr>
          <w:rFonts w:ascii="Times New Roman" w:hAnsi="Times New Roman" w:cs="Times New Roman"/>
        </w:rPr>
        <w:t>4,7</w:t>
      </w:r>
      <w:r>
        <w:rPr>
          <w:rFonts w:ascii="Times New Roman" w:hAnsi="Times New Roman" w:cs="Times New Roman"/>
        </w:rPr>
        <w:t xml:space="preserve"> puan) </w:t>
      </w:r>
      <w:r w:rsidR="004A214F">
        <w:rPr>
          <w:rFonts w:ascii="Times New Roman" w:hAnsi="Times New Roman" w:cs="Times New Roman"/>
        </w:rPr>
        <w:t>azalar</w:t>
      </w:r>
      <w:r w:rsidR="005F51E4">
        <w:rPr>
          <w:rFonts w:ascii="Times New Roman" w:hAnsi="Times New Roman" w:cs="Times New Roman"/>
        </w:rPr>
        <w:t>a</w:t>
      </w:r>
      <w:r w:rsidR="008F474D">
        <w:rPr>
          <w:rFonts w:ascii="Times New Roman" w:hAnsi="Times New Roman" w:cs="Times New Roman"/>
        </w:rPr>
        <w:t xml:space="preserve">k </w:t>
      </w:r>
      <w:r w:rsidR="00A4252F">
        <w:rPr>
          <w:rFonts w:ascii="Times New Roman" w:hAnsi="Times New Roman" w:cs="Times New Roman"/>
        </w:rPr>
        <w:t>88,8</w:t>
      </w:r>
      <w:r>
        <w:rPr>
          <w:rFonts w:ascii="Times New Roman" w:hAnsi="Times New Roman" w:cs="Times New Roman"/>
        </w:rPr>
        <w:t xml:space="preserve"> puan olduğu görülmektedir. Hizmet sektörünün diğer bir alt kalemi olan hizmetlere olan talep</w:t>
      </w:r>
      <w:r w:rsidR="003C0AB3">
        <w:rPr>
          <w:rFonts w:ascii="Times New Roman" w:hAnsi="Times New Roman" w:cs="Times New Roman"/>
        </w:rPr>
        <w:t xml:space="preserve"> </w:t>
      </w:r>
      <w:r w:rsidR="00A4252F">
        <w:rPr>
          <w:rFonts w:ascii="Times New Roman" w:hAnsi="Times New Roman" w:cs="Times New Roman"/>
        </w:rPr>
        <w:t xml:space="preserve">Mayıs </w:t>
      </w:r>
      <w:r w:rsidR="005F51E4">
        <w:rPr>
          <w:rFonts w:ascii="Times New Roman" w:hAnsi="Times New Roman" w:cs="Times New Roman"/>
        </w:rPr>
        <w:t>2018</w:t>
      </w:r>
      <w:r w:rsidR="007C3780">
        <w:rPr>
          <w:rFonts w:ascii="Times New Roman" w:hAnsi="Times New Roman" w:cs="Times New Roman"/>
        </w:rPr>
        <w:t>’d</w:t>
      </w:r>
      <w:r w:rsidR="003C0AB3">
        <w:rPr>
          <w:rFonts w:ascii="Times New Roman" w:hAnsi="Times New Roman" w:cs="Times New Roman"/>
        </w:rPr>
        <w:t>e bir önceki aya göre</w:t>
      </w:r>
      <w:r w:rsidR="00E2518C">
        <w:rPr>
          <w:rFonts w:ascii="Times New Roman" w:hAnsi="Times New Roman" w:cs="Times New Roman"/>
        </w:rPr>
        <w:t xml:space="preserve"> </w:t>
      </w:r>
      <w:r w:rsidR="00A4252F">
        <w:rPr>
          <w:rFonts w:ascii="Times New Roman" w:hAnsi="Times New Roman" w:cs="Times New Roman"/>
        </w:rPr>
        <w:t>5,9</w:t>
      </w:r>
      <w:r w:rsidR="003A20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puan </w:t>
      </w:r>
      <w:r w:rsidR="005F51E4">
        <w:rPr>
          <w:rFonts w:ascii="Times New Roman" w:hAnsi="Times New Roman" w:cs="Times New Roman"/>
        </w:rPr>
        <w:t>a</w:t>
      </w:r>
      <w:r w:rsidR="003A209E">
        <w:rPr>
          <w:rFonts w:ascii="Times New Roman" w:hAnsi="Times New Roman" w:cs="Times New Roman"/>
        </w:rPr>
        <w:t>zalmış</w:t>
      </w:r>
      <w:r w:rsidR="008F47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</w:t>
      </w:r>
      <w:r w:rsidR="00A4252F">
        <w:rPr>
          <w:rFonts w:ascii="Times New Roman" w:hAnsi="Times New Roman" w:cs="Times New Roman"/>
        </w:rPr>
        <w:t>87,6</w:t>
      </w:r>
      <w:r w:rsidR="008F037C">
        <w:rPr>
          <w:rFonts w:ascii="Times New Roman" w:hAnsi="Times New Roman" w:cs="Times New Roman"/>
        </w:rPr>
        <w:t xml:space="preserve"> puan olmuştur</w:t>
      </w:r>
      <w:r w:rsidR="00A4252F">
        <w:rPr>
          <w:rFonts w:ascii="Times New Roman" w:hAnsi="Times New Roman" w:cs="Times New Roman"/>
        </w:rPr>
        <w:t>. Nisan</w:t>
      </w:r>
      <w:r w:rsidR="003A209E">
        <w:rPr>
          <w:rFonts w:ascii="Times New Roman" w:hAnsi="Times New Roman" w:cs="Times New Roman"/>
        </w:rPr>
        <w:t xml:space="preserve"> </w:t>
      </w:r>
      <w:r w:rsidR="00CE7185">
        <w:rPr>
          <w:rFonts w:ascii="Times New Roman" w:hAnsi="Times New Roman" w:cs="Times New Roman"/>
        </w:rPr>
        <w:t>2018</w:t>
      </w:r>
      <w:r w:rsidR="007C3780">
        <w:rPr>
          <w:rFonts w:ascii="Times New Roman" w:hAnsi="Times New Roman" w:cs="Times New Roman"/>
        </w:rPr>
        <w:t>’de</w:t>
      </w:r>
      <w:r w:rsidR="003C6B2D">
        <w:rPr>
          <w:rFonts w:ascii="Times New Roman" w:hAnsi="Times New Roman" w:cs="Times New Roman"/>
        </w:rPr>
        <w:t xml:space="preserve"> </w:t>
      </w:r>
      <w:r w:rsidR="0028702B">
        <w:rPr>
          <w:rFonts w:ascii="Times New Roman" w:hAnsi="Times New Roman" w:cs="Times New Roman"/>
        </w:rPr>
        <w:t>10</w:t>
      </w:r>
      <w:r w:rsidR="00A4252F">
        <w:rPr>
          <w:rFonts w:ascii="Times New Roman" w:hAnsi="Times New Roman" w:cs="Times New Roman"/>
        </w:rPr>
        <w:t>4</w:t>
      </w:r>
      <w:r w:rsidR="005F51E4">
        <w:rPr>
          <w:rFonts w:ascii="Times New Roman" w:hAnsi="Times New Roman" w:cs="Times New Roman"/>
        </w:rPr>
        <w:t>,</w:t>
      </w:r>
      <w:r w:rsidR="00A425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puan olan gelecek 3 aylık dönem için hizmetlere olan talep beklentisi ise, </w:t>
      </w:r>
      <w:r w:rsidR="00A4252F">
        <w:rPr>
          <w:rFonts w:ascii="Times New Roman" w:hAnsi="Times New Roman" w:cs="Times New Roman"/>
        </w:rPr>
        <w:t>Mayıs</w:t>
      </w:r>
      <w:r w:rsidR="00AD10C4">
        <w:rPr>
          <w:rFonts w:ascii="Times New Roman" w:hAnsi="Times New Roman" w:cs="Times New Roman"/>
        </w:rPr>
        <w:t xml:space="preserve"> </w:t>
      </w:r>
      <w:r w:rsidR="007C3780">
        <w:rPr>
          <w:rFonts w:ascii="Times New Roman" w:hAnsi="Times New Roman" w:cs="Times New Roman"/>
        </w:rPr>
        <w:t>201</w:t>
      </w:r>
      <w:r w:rsidR="005F51E4">
        <w:rPr>
          <w:rFonts w:ascii="Times New Roman" w:hAnsi="Times New Roman" w:cs="Times New Roman"/>
        </w:rPr>
        <w:t>8</w:t>
      </w:r>
      <w:r w:rsidR="007C3780">
        <w:rPr>
          <w:rFonts w:ascii="Times New Roman" w:hAnsi="Times New Roman" w:cs="Times New Roman"/>
        </w:rPr>
        <w:t>’de</w:t>
      </w:r>
      <w:r w:rsidR="00CE7185">
        <w:rPr>
          <w:rFonts w:ascii="Times New Roman" w:hAnsi="Times New Roman" w:cs="Times New Roman"/>
        </w:rPr>
        <w:t xml:space="preserve"> yüzde </w:t>
      </w:r>
      <w:r w:rsidR="00A4252F">
        <w:rPr>
          <w:rFonts w:ascii="Times New Roman" w:hAnsi="Times New Roman" w:cs="Times New Roman"/>
        </w:rPr>
        <w:t>4,</w:t>
      </w:r>
      <w:r w:rsidR="0072469D">
        <w:rPr>
          <w:rFonts w:ascii="Times New Roman" w:hAnsi="Times New Roman" w:cs="Times New Roman"/>
        </w:rPr>
        <w:t>5</w:t>
      </w:r>
      <w:r w:rsidR="00963DD3">
        <w:rPr>
          <w:rFonts w:ascii="Times New Roman" w:hAnsi="Times New Roman" w:cs="Times New Roman"/>
        </w:rPr>
        <w:t xml:space="preserve"> düşmü</w:t>
      </w:r>
      <w:r w:rsidR="00CE7185">
        <w:rPr>
          <w:rFonts w:ascii="Times New Roman" w:hAnsi="Times New Roman" w:cs="Times New Roman"/>
        </w:rPr>
        <w:t xml:space="preserve">ş ve </w:t>
      </w:r>
      <w:r w:rsidR="00A4252F">
        <w:rPr>
          <w:rFonts w:ascii="Times New Roman" w:hAnsi="Times New Roman" w:cs="Times New Roman"/>
        </w:rPr>
        <w:t xml:space="preserve">99,7 </w:t>
      </w:r>
      <w:r w:rsidR="00AD10C4">
        <w:rPr>
          <w:rFonts w:ascii="Times New Roman" w:hAnsi="Times New Roman" w:cs="Times New Roman"/>
        </w:rPr>
        <w:t>puan olmuştur.</w:t>
      </w:r>
    </w:p>
    <w:p w:rsidR="00415908" w:rsidRPr="001040A2" w:rsidRDefault="00415908" w:rsidP="00415908">
      <w:pPr>
        <w:pStyle w:val="ResimYazs"/>
        <w:keepNext/>
        <w:rPr>
          <w:sz w:val="22"/>
        </w:rPr>
      </w:pPr>
      <w:r w:rsidRPr="001040A2">
        <w:rPr>
          <w:sz w:val="22"/>
        </w:rPr>
        <w:t xml:space="preserve">Tablo </w:t>
      </w:r>
      <w:r w:rsidR="0020454D" w:rsidRPr="001040A2">
        <w:rPr>
          <w:sz w:val="22"/>
        </w:rPr>
        <w:fldChar w:fldCharType="begin"/>
      </w:r>
      <w:r w:rsidR="0020454D" w:rsidRPr="001040A2">
        <w:rPr>
          <w:sz w:val="22"/>
        </w:rPr>
        <w:instrText xml:space="preserve"> SEQ Tablo \* ARABIC </w:instrText>
      </w:r>
      <w:r w:rsidR="0020454D" w:rsidRPr="001040A2">
        <w:rPr>
          <w:sz w:val="22"/>
        </w:rPr>
        <w:fldChar w:fldCharType="separate"/>
      </w:r>
      <w:r w:rsidR="00822990">
        <w:rPr>
          <w:noProof/>
          <w:sz w:val="22"/>
        </w:rPr>
        <w:t>2</w:t>
      </w:r>
      <w:r w:rsidR="0020454D" w:rsidRPr="001040A2">
        <w:rPr>
          <w:noProof/>
          <w:sz w:val="22"/>
        </w:rPr>
        <w:fldChar w:fldCharType="end"/>
      </w:r>
      <w:r w:rsidRPr="001040A2">
        <w:rPr>
          <w:sz w:val="22"/>
        </w:rPr>
        <w:t>: Hizmet sektörü güven endeksi alt bileşenleri (</w:t>
      </w:r>
      <w:r w:rsidR="00A4252F">
        <w:rPr>
          <w:sz w:val="22"/>
        </w:rPr>
        <w:t>Nisan</w:t>
      </w:r>
      <w:r w:rsidR="00D6103B">
        <w:rPr>
          <w:sz w:val="22"/>
        </w:rPr>
        <w:t xml:space="preserve"> </w:t>
      </w:r>
      <w:r w:rsidR="00DA1555" w:rsidRPr="001040A2">
        <w:rPr>
          <w:sz w:val="22"/>
        </w:rPr>
        <w:t>2018</w:t>
      </w:r>
      <w:r w:rsidR="00D6103B">
        <w:rPr>
          <w:sz w:val="22"/>
        </w:rPr>
        <w:t xml:space="preserve"> – </w:t>
      </w:r>
      <w:r w:rsidR="00A4252F">
        <w:rPr>
          <w:sz w:val="22"/>
        </w:rPr>
        <w:t>Mayıs</w:t>
      </w:r>
      <w:r w:rsidR="008A77E9">
        <w:rPr>
          <w:sz w:val="22"/>
        </w:rPr>
        <w:t xml:space="preserve"> 2018</w:t>
      </w:r>
      <w:r w:rsidRPr="001040A2">
        <w:rPr>
          <w:sz w:val="22"/>
        </w:rPr>
        <w:t>)</w:t>
      </w:r>
    </w:p>
    <w:tbl>
      <w:tblPr>
        <w:tblStyle w:val="AkGlgeleme-Vurgu11"/>
        <w:tblW w:w="9026" w:type="dxa"/>
        <w:tblLook w:val="04A0" w:firstRow="1" w:lastRow="0" w:firstColumn="1" w:lastColumn="0" w:noHBand="0" w:noVBand="1"/>
      </w:tblPr>
      <w:tblGrid>
        <w:gridCol w:w="6416"/>
        <w:gridCol w:w="1252"/>
        <w:gridCol w:w="1358"/>
      </w:tblGrid>
      <w:tr w:rsidR="00F73F8D" w:rsidRPr="00F73F8D" w:rsidTr="00F73F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F73F8D" w:rsidRPr="00F73F8D" w:rsidRDefault="00F73F8D" w:rsidP="00F73F8D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gridSpan w:val="2"/>
            <w:noWrap/>
            <w:hideMark/>
          </w:tcPr>
          <w:p w:rsidR="00F73F8D" w:rsidRPr="00F73F8D" w:rsidRDefault="00F73F8D" w:rsidP="00F73F8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Endeks</w:t>
            </w:r>
          </w:p>
        </w:tc>
      </w:tr>
      <w:tr w:rsidR="00A4252F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A4252F" w:rsidRPr="00F73F8D" w:rsidRDefault="00A4252F" w:rsidP="00A4252F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2" w:type="dxa"/>
            <w:noWrap/>
          </w:tcPr>
          <w:p w:rsidR="00A4252F" w:rsidRPr="00415908" w:rsidRDefault="00A4252F" w:rsidP="00A4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Nis.18</w:t>
            </w:r>
          </w:p>
        </w:tc>
        <w:tc>
          <w:tcPr>
            <w:tcW w:w="1358" w:type="dxa"/>
            <w:noWrap/>
          </w:tcPr>
          <w:p w:rsidR="00A4252F" w:rsidRPr="00415908" w:rsidRDefault="00A4252F" w:rsidP="00A4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May.18</w:t>
            </w:r>
          </w:p>
        </w:tc>
      </w:tr>
      <w:tr w:rsidR="00A4252F" w:rsidRPr="00F73F8D" w:rsidTr="008F474D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A4252F" w:rsidRPr="00F73F8D" w:rsidRDefault="00A4252F" w:rsidP="00A4252F">
            <w:pPr>
              <w:rPr>
                <w:rFonts w:ascii="Calibri" w:eastAsia="Times New Roman" w:hAnsi="Calibri" w:cs="Times New Roman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color w:val="000000"/>
              </w:rPr>
              <w:t>Hizmet Sektörü Güven Endeksi</w:t>
            </w:r>
          </w:p>
        </w:tc>
        <w:tc>
          <w:tcPr>
            <w:tcW w:w="1252" w:type="dxa"/>
            <w:noWrap/>
          </w:tcPr>
          <w:p w:rsidR="00A4252F" w:rsidRPr="00F73F8D" w:rsidRDefault="00A4252F" w:rsidP="00A4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97,1</w:t>
            </w:r>
          </w:p>
        </w:tc>
        <w:tc>
          <w:tcPr>
            <w:tcW w:w="1358" w:type="dxa"/>
            <w:noWrap/>
          </w:tcPr>
          <w:p w:rsidR="00A4252F" w:rsidRPr="00F73F8D" w:rsidRDefault="00A4252F" w:rsidP="00A4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92,0</w:t>
            </w:r>
          </w:p>
        </w:tc>
      </w:tr>
      <w:tr w:rsidR="00A4252F" w:rsidRPr="00F73F8D" w:rsidTr="007C3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A4252F" w:rsidRPr="00F73F8D" w:rsidRDefault="00A4252F" w:rsidP="00A4252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İş Durumu (Son 3 aylık dönemde)</w:t>
            </w:r>
          </w:p>
        </w:tc>
        <w:tc>
          <w:tcPr>
            <w:tcW w:w="1252" w:type="dxa"/>
            <w:noWrap/>
          </w:tcPr>
          <w:p w:rsidR="00A4252F" w:rsidRPr="00F73F8D" w:rsidRDefault="00A4252F" w:rsidP="00A4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93,5</w:t>
            </w:r>
          </w:p>
        </w:tc>
        <w:tc>
          <w:tcPr>
            <w:tcW w:w="1358" w:type="dxa"/>
            <w:noWrap/>
          </w:tcPr>
          <w:p w:rsidR="00A4252F" w:rsidRPr="00F73F8D" w:rsidRDefault="00A4252F" w:rsidP="00A4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88,8</w:t>
            </w:r>
          </w:p>
        </w:tc>
      </w:tr>
      <w:tr w:rsidR="00A4252F" w:rsidRPr="00F73F8D" w:rsidTr="008F474D">
        <w:trPr>
          <w:trHeight w:val="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noWrap/>
            <w:hideMark/>
          </w:tcPr>
          <w:p w:rsidR="00A4252F" w:rsidRPr="00F73F8D" w:rsidRDefault="00A4252F" w:rsidP="00A4252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(son 3 aylık dönemde</w:t>
            </w:r>
            <w:r>
              <w:rPr>
                <w:rFonts w:ascii="Calibri" w:eastAsia="Times New Roman" w:hAnsi="Calibri" w:cs="Times New Roman"/>
                <w:b w:val="0"/>
                <w:color w:val="000000"/>
              </w:rPr>
              <w:t>)</w:t>
            </w:r>
          </w:p>
        </w:tc>
        <w:tc>
          <w:tcPr>
            <w:tcW w:w="1252" w:type="dxa"/>
            <w:noWrap/>
          </w:tcPr>
          <w:p w:rsidR="00A4252F" w:rsidRPr="00F73F8D" w:rsidRDefault="00A4252F" w:rsidP="00A4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93,5</w:t>
            </w:r>
          </w:p>
        </w:tc>
        <w:tc>
          <w:tcPr>
            <w:tcW w:w="1358" w:type="dxa"/>
            <w:noWrap/>
          </w:tcPr>
          <w:p w:rsidR="00A4252F" w:rsidRPr="00F73F8D" w:rsidRDefault="00A4252F" w:rsidP="00A42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87,6</w:t>
            </w:r>
          </w:p>
        </w:tc>
      </w:tr>
      <w:tr w:rsidR="00A4252F" w:rsidRPr="00F73F8D" w:rsidTr="008F47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6" w:type="dxa"/>
            <w:hideMark/>
          </w:tcPr>
          <w:p w:rsidR="00A4252F" w:rsidRPr="00F73F8D" w:rsidRDefault="00A4252F" w:rsidP="00A4252F">
            <w:pPr>
              <w:rPr>
                <w:rFonts w:ascii="Calibri" w:eastAsia="Times New Roman" w:hAnsi="Calibri" w:cs="Times New Roman"/>
                <w:b w:val="0"/>
                <w:color w:val="000000"/>
              </w:rPr>
            </w:pPr>
            <w:r w:rsidRPr="00F73F8D">
              <w:rPr>
                <w:rFonts w:ascii="Calibri" w:eastAsia="Times New Roman" w:hAnsi="Calibri" w:cs="Times New Roman"/>
                <w:b w:val="0"/>
                <w:color w:val="000000"/>
              </w:rPr>
              <w:t>Hizmetlere olan talep beklentisi (gelecek 3 aylık dönemde)</w:t>
            </w:r>
          </w:p>
        </w:tc>
        <w:tc>
          <w:tcPr>
            <w:tcW w:w="1252" w:type="dxa"/>
            <w:noWrap/>
          </w:tcPr>
          <w:p w:rsidR="00A4252F" w:rsidRDefault="00A4252F" w:rsidP="00A4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104,4</w:t>
            </w:r>
          </w:p>
          <w:p w:rsidR="00A4252F" w:rsidRPr="00F73F8D" w:rsidRDefault="00A4252F" w:rsidP="00A4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8" w:type="dxa"/>
            <w:noWrap/>
          </w:tcPr>
          <w:p w:rsidR="00A4252F" w:rsidRPr="00F73F8D" w:rsidRDefault="00A4252F" w:rsidP="00A42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99,7</w:t>
            </w:r>
          </w:p>
        </w:tc>
      </w:tr>
    </w:tbl>
    <w:p w:rsidR="00E12C81" w:rsidRPr="002B5EAF" w:rsidRDefault="00E12C81" w:rsidP="00415908">
      <w:pPr>
        <w:rPr>
          <w:rFonts w:ascii="Times New Roman" w:hAnsi="Times New Roman" w:cs="Times New Roman"/>
        </w:rPr>
      </w:pPr>
    </w:p>
    <w:sectPr w:rsidR="00E12C81" w:rsidRPr="002B5EAF" w:rsidSect="00D11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0tDAyszCwMDOzMDNW0lEKTi0uzszPAykwNKwFAFOmX7gtAAAA"/>
  </w:docVars>
  <w:rsids>
    <w:rsidRoot w:val="00BA0AF0"/>
    <w:rsid w:val="00001939"/>
    <w:rsid w:val="000165C7"/>
    <w:rsid w:val="00021272"/>
    <w:rsid w:val="00023034"/>
    <w:rsid w:val="000319EB"/>
    <w:rsid w:val="00036091"/>
    <w:rsid w:val="000378BB"/>
    <w:rsid w:val="00041E14"/>
    <w:rsid w:val="00054D8A"/>
    <w:rsid w:val="00074A05"/>
    <w:rsid w:val="00080D25"/>
    <w:rsid w:val="00086B75"/>
    <w:rsid w:val="000B1BD1"/>
    <w:rsid w:val="000F4388"/>
    <w:rsid w:val="001026C6"/>
    <w:rsid w:val="001040A2"/>
    <w:rsid w:val="00107F1F"/>
    <w:rsid w:val="0011679B"/>
    <w:rsid w:val="00161E0D"/>
    <w:rsid w:val="00165BA5"/>
    <w:rsid w:val="00170F04"/>
    <w:rsid w:val="001A0EC5"/>
    <w:rsid w:val="001B3FD6"/>
    <w:rsid w:val="001B4B87"/>
    <w:rsid w:val="001B7E16"/>
    <w:rsid w:val="001C5D32"/>
    <w:rsid w:val="001F45C1"/>
    <w:rsid w:val="00200568"/>
    <w:rsid w:val="002005BA"/>
    <w:rsid w:val="0020454D"/>
    <w:rsid w:val="00226F56"/>
    <w:rsid w:val="00233F6E"/>
    <w:rsid w:val="00262FF1"/>
    <w:rsid w:val="00264FA3"/>
    <w:rsid w:val="002701B7"/>
    <w:rsid w:val="00273012"/>
    <w:rsid w:val="00282CEF"/>
    <w:rsid w:val="0028702B"/>
    <w:rsid w:val="00292A77"/>
    <w:rsid w:val="002960EC"/>
    <w:rsid w:val="0029724F"/>
    <w:rsid w:val="002B5EAF"/>
    <w:rsid w:val="002C176D"/>
    <w:rsid w:val="002D1321"/>
    <w:rsid w:val="002D413C"/>
    <w:rsid w:val="002D467F"/>
    <w:rsid w:val="002E040D"/>
    <w:rsid w:val="0030435D"/>
    <w:rsid w:val="00304DB6"/>
    <w:rsid w:val="003265ED"/>
    <w:rsid w:val="00347C2E"/>
    <w:rsid w:val="0035250B"/>
    <w:rsid w:val="0037286A"/>
    <w:rsid w:val="00374EB7"/>
    <w:rsid w:val="00376705"/>
    <w:rsid w:val="003A209E"/>
    <w:rsid w:val="003A4CF2"/>
    <w:rsid w:val="003A4DE8"/>
    <w:rsid w:val="003A4E9E"/>
    <w:rsid w:val="003A70B7"/>
    <w:rsid w:val="003B625F"/>
    <w:rsid w:val="003C0AB3"/>
    <w:rsid w:val="003C6B2D"/>
    <w:rsid w:val="003E7ABA"/>
    <w:rsid w:val="003F5E00"/>
    <w:rsid w:val="003F7737"/>
    <w:rsid w:val="00414D32"/>
    <w:rsid w:val="00415908"/>
    <w:rsid w:val="0042607A"/>
    <w:rsid w:val="00444D65"/>
    <w:rsid w:val="004471C7"/>
    <w:rsid w:val="0045208A"/>
    <w:rsid w:val="0046369B"/>
    <w:rsid w:val="004701F9"/>
    <w:rsid w:val="00472839"/>
    <w:rsid w:val="004729F3"/>
    <w:rsid w:val="00494A67"/>
    <w:rsid w:val="004A0B57"/>
    <w:rsid w:val="004A15F5"/>
    <w:rsid w:val="004A214F"/>
    <w:rsid w:val="004B1DF6"/>
    <w:rsid w:val="004B53CA"/>
    <w:rsid w:val="004C3B97"/>
    <w:rsid w:val="004F0E94"/>
    <w:rsid w:val="005131B0"/>
    <w:rsid w:val="005132FC"/>
    <w:rsid w:val="005148AF"/>
    <w:rsid w:val="00520B2A"/>
    <w:rsid w:val="005365D4"/>
    <w:rsid w:val="005434BB"/>
    <w:rsid w:val="00543DFC"/>
    <w:rsid w:val="00550581"/>
    <w:rsid w:val="00576633"/>
    <w:rsid w:val="00597811"/>
    <w:rsid w:val="005B1EAF"/>
    <w:rsid w:val="005D1EB3"/>
    <w:rsid w:val="005E0AFC"/>
    <w:rsid w:val="005F0680"/>
    <w:rsid w:val="005F0ACA"/>
    <w:rsid w:val="005F51E4"/>
    <w:rsid w:val="006157CE"/>
    <w:rsid w:val="006178F0"/>
    <w:rsid w:val="00646E04"/>
    <w:rsid w:val="006479FF"/>
    <w:rsid w:val="00647A5C"/>
    <w:rsid w:val="00647CB8"/>
    <w:rsid w:val="00660880"/>
    <w:rsid w:val="0067120F"/>
    <w:rsid w:val="0067222E"/>
    <w:rsid w:val="0067296E"/>
    <w:rsid w:val="00674F4A"/>
    <w:rsid w:val="006934C1"/>
    <w:rsid w:val="006A1C57"/>
    <w:rsid w:val="006A3C59"/>
    <w:rsid w:val="006B7D58"/>
    <w:rsid w:val="006D157A"/>
    <w:rsid w:val="006D6C3C"/>
    <w:rsid w:val="006F187F"/>
    <w:rsid w:val="006F23D8"/>
    <w:rsid w:val="00703D10"/>
    <w:rsid w:val="0071356F"/>
    <w:rsid w:val="00722F2F"/>
    <w:rsid w:val="0072469D"/>
    <w:rsid w:val="00730B95"/>
    <w:rsid w:val="0073396B"/>
    <w:rsid w:val="0073412A"/>
    <w:rsid w:val="00734FA4"/>
    <w:rsid w:val="00735C81"/>
    <w:rsid w:val="00746DDE"/>
    <w:rsid w:val="007542F0"/>
    <w:rsid w:val="007552FC"/>
    <w:rsid w:val="00756E1D"/>
    <w:rsid w:val="00766039"/>
    <w:rsid w:val="0079344E"/>
    <w:rsid w:val="007A61BB"/>
    <w:rsid w:val="007B5C52"/>
    <w:rsid w:val="007C3780"/>
    <w:rsid w:val="007C40D1"/>
    <w:rsid w:val="007E45C0"/>
    <w:rsid w:val="008071E5"/>
    <w:rsid w:val="008164FC"/>
    <w:rsid w:val="008212B1"/>
    <w:rsid w:val="00822990"/>
    <w:rsid w:val="008310FF"/>
    <w:rsid w:val="00836F9A"/>
    <w:rsid w:val="00864D2F"/>
    <w:rsid w:val="00870D01"/>
    <w:rsid w:val="00890360"/>
    <w:rsid w:val="00897DA7"/>
    <w:rsid w:val="008A33AE"/>
    <w:rsid w:val="008A3853"/>
    <w:rsid w:val="008A77E9"/>
    <w:rsid w:val="008B29F9"/>
    <w:rsid w:val="008C3A4E"/>
    <w:rsid w:val="008F037C"/>
    <w:rsid w:val="008F474D"/>
    <w:rsid w:val="008F6EF4"/>
    <w:rsid w:val="00912C7B"/>
    <w:rsid w:val="00915AFC"/>
    <w:rsid w:val="00922474"/>
    <w:rsid w:val="00931BB6"/>
    <w:rsid w:val="00941751"/>
    <w:rsid w:val="0094387A"/>
    <w:rsid w:val="0095774C"/>
    <w:rsid w:val="00960957"/>
    <w:rsid w:val="00963DD3"/>
    <w:rsid w:val="009724AC"/>
    <w:rsid w:val="0097734F"/>
    <w:rsid w:val="00981DB6"/>
    <w:rsid w:val="00981E48"/>
    <w:rsid w:val="00982EED"/>
    <w:rsid w:val="0099010B"/>
    <w:rsid w:val="00995A82"/>
    <w:rsid w:val="009B5021"/>
    <w:rsid w:val="009B6A7A"/>
    <w:rsid w:val="009C52AE"/>
    <w:rsid w:val="009C5699"/>
    <w:rsid w:val="009C7E77"/>
    <w:rsid w:val="009D63C0"/>
    <w:rsid w:val="009E30DF"/>
    <w:rsid w:val="009E3952"/>
    <w:rsid w:val="009F3A87"/>
    <w:rsid w:val="009F6886"/>
    <w:rsid w:val="00A00243"/>
    <w:rsid w:val="00A17C8D"/>
    <w:rsid w:val="00A2299A"/>
    <w:rsid w:val="00A270E3"/>
    <w:rsid w:val="00A332D6"/>
    <w:rsid w:val="00A41FF2"/>
    <w:rsid w:val="00A4252F"/>
    <w:rsid w:val="00A7249F"/>
    <w:rsid w:val="00A8233A"/>
    <w:rsid w:val="00A85A31"/>
    <w:rsid w:val="00A928AB"/>
    <w:rsid w:val="00AA5196"/>
    <w:rsid w:val="00AB3B74"/>
    <w:rsid w:val="00AC4AAE"/>
    <w:rsid w:val="00AD0348"/>
    <w:rsid w:val="00AD10C4"/>
    <w:rsid w:val="00AD6B7D"/>
    <w:rsid w:val="00AE146A"/>
    <w:rsid w:val="00AE63C8"/>
    <w:rsid w:val="00B050DB"/>
    <w:rsid w:val="00B22A6C"/>
    <w:rsid w:val="00B35A25"/>
    <w:rsid w:val="00B36193"/>
    <w:rsid w:val="00B41E31"/>
    <w:rsid w:val="00B4408D"/>
    <w:rsid w:val="00B60799"/>
    <w:rsid w:val="00B73A80"/>
    <w:rsid w:val="00B74F32"/>
    <w:rsid w:val="00B77501"/>
    <w:rsid w:val="00B81204"/>
    <w:rsid w:val="00B81743"/>
    <w:rsid w:val="00B81FEA"/>
    <w:rsid w:val="00B82CA4"/>
    <w:rsid w:val="00BA0AF0"/>
    <w:rsid w:val="00BA3D68"/>
    <w:rsid w:val="00BB0798"/>
    <w:rsid w:val="00BB3B61"/>
    <w:rsid w:val="00BC452F"/>
    <w:rsid w:val="00BE14F5"/>
    <w:rsid w:val="00BE2F10"/>
    <w:rsid w:val="00BF056D"/>
    <w:rsid w:val="00BF186E"/>
    <w:rsid w:val="00C00636"/>
    <w:rsid w:val="00C03663"/>
    <w:rsid w:val="00C0378F"/>
    <w:rsid w:val="00C03934"/>
    <w:rsid w:val="00C04185"/>
    <w:rsid w:val="00C06DE1"/>
    <w:rsid w:val="00C2576A"/>
    <w:rsid w:val="00C41B6B"/>
    <w:rsid w:val="00C4634F"/>
    <w:rsid w:val="00C51B65"/>
    <w:rsid w:val="00C61466"/>
    <w:rsid w:val="00C8117B"/>
    <w:rsid w:val="00CA571E"/>
    <w:rsid w:val="00CA5ACC"/>
    <w:rsid w:val="00CB3192"/>
    <w:rsid w:val="00CC05F5"/>
    <w:rsid w:val="00CC0799"/>
    <w:rsid w:val="00CD2398"/>
    <w:rsid w:val="00CE3226"/>
    <w:rsid w:val="00CE566F"/>
    <w:rsid w:val="00CE579E"/>
    <w:rsid w:val="00CE7185"/>
    <w:rsid w:val="00D00F4A"/>
    <w:rsid w:val="00D11DC0"/>
    <w:rsid w:val="00D24F04"/>
    <w:rsid w:val="00D30BE9"/>
    <w:rsid w:val="00D40056"/>
    <w:rsid w:val="00D41704"/>
    <w:rsid w:val="00D6103B"/>
    <w:rsid w:val="00D67D7D"/>
    <w:rsid w:val="00D847C0"/>
    <w:rsid w:val="00D85077"/>
    <w:rsid w:val="00D90DBF"/>
    <w:rsid w:val="00D91A76"/>
    <w:rsid w:val="00DA1555"/>
    <w:rsid w:val="00DB0FFC"/>
    <w:rsid w:val="00DB377B"/>
    <w:rsid w:val="00DB58EE"/>
    <w:rsid w:val="00DB71E1"/>
    <w:rsid w:val="00DC3CEB"/>
    <w:rsid w:val="00DC3F8D"/>
    <w:rsid w:val="00DC77A2"/>
    <w:rsid w:val="00DE3127"/>
    <w:rsid w:val="00DF240C"/>
    <w:rsid w:val="00DF6EC7"/>
    <w:rsid w:val="00E050E5"/>
    <w:rsid w:val="00E05545"/>
    <w:rsid w:val="00E12C81"/>
    <w:rsid w:val="00E14F76"/>
    <w:rsid w:val="00E15A75"/>
    <w:rsid w:val="00E21DC8"/>
    <w:rsid w:val="00E22179"/>
    <w:rsid w:val="00E2518C"/>
    <w:rsid w:val="00E326F7"/>
    <w:rsid w:val="00E42435"/>
    <w:rsid w:val="00E50E81"/>
    <w:rsid w:val="00E52462"/>
    <w:rsid w:val="00E638BF"/>
    <w:rsid w:val="00E72ED9"/>
    <w:rsid w:val="00E732E5"/>
    <w:rsid w:val="00E75561"/>
    <w:rsid w:val="00EA0F82"/>
    <w:rsid w:val="00EA2371"/>
    <w:rsid w:val="00EA5332"/>
    <w:rsid w:val="00EB0C4D"/>
    <w:rsid w:val="00EB68C0"/>
    <w:rsid w:val="00ED4F9E"/>
    <w:rsid w:val="00EE168A"/>
    <w:rsid w:val="00EE3747"/>
    <w:rsid w:val="00F2387A"/>
    <w:rsid w:val="00F41309"/>
    <w:rsid w:val="00F50673"/>
    <w:rsid w:val="00F511D4"/>
    <w:rsid w:val="00F5267F"/>
    <w:rsid w:val="00F66CF6"/>
    <w:rsid w:val="00F67B2E"/>
    <w:rsid w:val="00F73F8D"/>
    <w:rsid w:val="00F850EE"/>
    <w:rsid w:val="00F91EC1"/>
    <w:rsid w:val="00F93A42"/>
    <w:rsid w:val="00FB149D"/>
    <w:rsid w:val="00FB558C"/>
    <w:rsid w:val="00FC6C44"/>
    <w:rsid w:val="00FD08E1"/>
    <w:rsid w:val="00FD12B2"/>
    <w:rsid w:val="00FD5830"/>
    <w:rsid w:val="00FE6A3D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B24A0A"/>
  <w15:docId w15:val="{015643B9-0F47-4A86-87C0-66A2ECD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12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12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12C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5">
    <w:name w:val="Light Shading Accent 5"/>
    <w:basedOn w:val="NormalTablo"/>
    <w:uiPriority w:val="60"/>
    <w:rsid w:val="00BA0AF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A0AF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Bilgi">
    <w:name w:val="header"/>
    <w:basedOn w:val="Normal"/>
    <w:link w:val="stBilgiChar"/>
    <w:uiPriority w:val="99"/>
    <w:unhideWhenUsed/>
    <w:rsid w:val="00BA0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0AF0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0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AF0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A0AF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E12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E12C8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May&#305;s_2018\Ar&#305;nd&#305;r&#305;lmam&#305;&#351;-%20&#304;n&#351;aat_May&#305;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B&#252;lten\SEKT&#214;REL%20G&#220;VEN\May&#305;s_2018\Hizmet%20ar&#305;nd&#305;r&#305;lmam&#305;&#351;%20grafik_May&#305;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5987469308271952E-2"/>
          <c:y val="5.0925925925925923E-2"/>
          <c:w val="0.68795167965115478"/>
          <c:h val="0.75543343540390795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inşaat sektörü güven endeksi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42856</c:v>
                </c:pt>
                <c:pt idx="1">
                  <c:v>42887</c:v>
                </c:pt>
                <c:pt idx="2">
                  <c:v>42917</c:v>
                </c:pt>
                <c:pt idx="3">
                  <c:v>42948</c:v>
                </c:pt>
                <c:pt idx="4">
                  <c:v>42979</c:v>
                </c:pt>
                <c:pt idx="5">
                  <c:v>43009</c:v>
                </c:pt>
                <c:pt idx="6">
                  <c:v>43040</c:v>
                </c:pt>
                <c:pt idx="7">
                  <c:v>43070</c:v>
                </c:pt>
                <c:pt idx="8">
                  <c:v>43101</c:v>
                </c:pt>
                <c:pt idx="9">
                  <c:v>43132</c:v>
                </c:pt>
                <c:pt idx="10">
                  <c:v>43160</c:v>
                </c:pt>
                <c:pt idx="11">
                  <c:v>43191</c:v>
                </c:pt>
                <c:pt idx="12">
                  <c:v>43221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86.324918591370135</c:v>
                </c:pt>
                <c:pt idx="1">
                  <c:v>86.689524477191299</c:v>
                </c:pt>
                <c:pt idx="2">
                  <c:v>85.5</c:v>
                </c:pt>
                <c:pt idx="3">
                  <c:v>88.3</c:v>
                </c:pt>
                <c:pt idx="4">
                  <c:v>83.5</c:v>
                </c:pt>
                <c:pt idx="5" formatCode="General">
                  <c:v>84.2</c:v>
                </c:pt>
                <c:pt idx="6" formatCode="General">
                  <c:v>82.4</c:v>
                </c:pt>
                <c:pt idx="7">
                  <c:v>81.583513971541279</c:v>
                </c:pt>
                <c:pt idx="8">
                  <c:v>87.036131437024324</c:v>
                </c:pt>
                <c:pt idx="9" formatCode="General">
                  <c:v>83.8</c:v>
                </c:pt>
                <c:pt idx="10">
                  <c:v>78.860119999999995</c:v>
                </c:pt>
                <c:pt idx="11">
                  <c:v>78.800031543149998</c:v>
                </c:pt>
                <c:pt idx="12" formatCode="General">
                  <c:v>77.2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B1-4987-A7E0-38F7FEBD95B6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inşaat sektörü güven endeksi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42856</c:v>
                </c:pt>
                <c:pt idx="1">
                  <c:v>42887</c:v>
                </c:pt>
                <c:pt idx="2">
                  <c:v>42917</c:v>
                </c:pt>
                <c:pt idx="3">
                  <c:v>42948</c:v>
                </c:pt>
                <c:pt idx="4">
                  <c:v>42979</c:v>
                </c:pt>
                <c:pt idx="5">
                  <c:v>43009</c:v>
                </c:pt>
                <c:pt idx="6">
                  <c:v>43040</c:v>
                </c:pt>
                <c:pt idx="7">
                  <c:v>43070</c:v>
                </c:pt>
                <c:pt idx="8">
                  <c:v>43101</c:v>
                </c:pt>
                <c:pt idx="9">
                  <c:v>43132</c:v>
                </c:pt>
                <c:pt idx="10">
                  <c:v>43160</c:v>
                </c:pt>
                <c:pt idx="11">
                  <c:v>43191</c:v>
                </c:pt>
                <c:pt idx="12">
                  <c:v>43221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92.282274635960704</c:v>
                </c:pt>
                <c:pt idx="1">
                  <c:v>90.432677375146</c:v>
                </c:pt>
                <c:pt idx="2" formatCode="General">
                  <c:v>87.1</c:v>
                </c:pt>
                <c:pt idx="3">
                  <c:v>87.8</c:v>
                </c:pt>
                <c:pt idx="4">
                  <c:v>80.400000000000006</c:v>
                </c:pt>
                <c:pt idx="5" formatCode="General">
                  <c:v>77.599999999999994</c:v>
                </c:pt>
                <c:pt idx="6" formatCode="General">
                  <c:v>75.5</c:v>
                </c:pt>
                <c:pt idx="7">
                  <c:v>72.384158758233198</c:v>
                </c:pt>
                <c:pt idx="8">
                  <c:v>84.621612507063801</c:v>
                </c:pt>
                <c:pt idx="9" formatCode="General">
                  <c:v>86.2</c:v>
                </c:pt>
                <c:pt idx="10">
                  <c:v>85.016458644016893</c:v>
                </c:pt>
                <c:pt idx="11">
                  <c:v>86.423534642250004</c:v>
                </c:pt>
                <c:pt idx="12" formatCode="General">
                  <c:v>83.2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B1-4987-A7E0-38F7FEBD95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9817264"/>
        <c:axId val="1"/>
      </c:lineChart>
      <c:dateAx>
        <c:axId val="1809817264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Offset val="100"/>
        <c:baseTimeUnit val="months"/>
      </c:date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8098172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6262151258870414"/>
          <c:y val="0.13499841702666543"/>
          <c:w val="0.23522780806245369"/>
          <c:h val="0.31091727758168164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4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2590346938340036E-2"/>
          <c:y val="7.8703703703703706E-2"/>
          <c:w val="0.69018537316981721"/>
          <c:h val="0.77770888013998252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Mevsim etkilerinden arındırılmış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42856</c:v>
                </c:pt>
                <c:pt idx="1">
                  <c:v>42887</c:v>
                </c:pt>
                <c:pt idx="2">
                  <c:v>42917</c:v>
                </c:pt>
                <c:pt idx="3">
                  <c:v>42948</c:v>
                </c:pt>
                <c:pt idx="4">
                  <c:v>42979</c:v>
                </c:pt>
                <c:pt idx="5">
                  <c:v>43009</c:v>
                </c:pt>
                <c:pt idx="6">
                  <c:v>43040</c:v>
                </c:pt>
                <c:pt idx="7">
                  <c:v>43070</c:v>
                </c:pt>
                <c:pt idx="8">
                  <c:v>43101</c:v>
                </c:pt>
                <c:pt idx="9">
                  <c:v>43132</c:v>
                </c:pt>
                <c:pt idx="10">
                  <c:v>43160</c:v>
                </c:pt>
                <c:pt idx="11">
                  <c:v>43191</c:v>
                </c:pt>
                <c:pt idx="12">
                  <c:v>43221</c:v>
                </c:pt>
              </c:numCache>
            </c:numRef>
          </c:cat>
          <c:val>
            <c:numRef>
              <c:f>Sayfa1!$B$2:$B$14</c:f>
              <c:numCache>
                <c:formatCode>0.0</c:formatCode>
                <c:ptCount val="13"/>
                <c:pt idx="0">
                  <c:v>101.95880028174933</c:v>
                </c:pt>
                <c:pt idx="1">
                  <c:v>98.750923186594562</c:v>
                </c:pt>
                <c:pt idx="2">
                  <c:v>103.7</c:v>
                </c:pt>
                <c:pt idx="3">
                  <c:v>105.4</c:v>
                </c:pt>
                <c:pt idx="4">
                  <c:v>103.3</c:v>
                </c:pt>
                <c:pt idx="5">
                  <c:v>101.1</c:v>
                </c:pt>
                <c:pt idx="6">
                  <c:v>99.7</c:v>
                </c:pt>
                <c:pt idx="7">
                  <c:v>96.219859972129754</c:v>
                </c:pt>
                <c:pt idx="8">
                  <c:v>101.99526659116941</c:v>
                </c:pt>
                <c:pt idx="9">
                  <c:v>100.7</c:v>
                </c:pt>
                <c:pt idx="10">
                  <c:v>99.1</c:v>
                </c:pt>
                <c:pt idx="11">
                  <c:v>97.133904656379997</c:v>
                </c:pt>
                <c:pt idx="12">
                  <c:v>92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B5-4BEB-9057-38EC65571228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Mevsim etkilerinden arındırılmamış hizmet sektörü güven endeksi</c:v>
                </c:pt>
              </c:strCache>
            </c:strRef>
          </c:tx>
          <c:marker>
            <c:symbol val="none"/>
          </c:marker>
          <c:cat>
            <c:numRef>
              <c:f>Sayfa1!$A$2:$A$14</c:f>
              <c:numCache>
                <c:formatCode>mmm\-yy</c:formatCode>
                <c:ptCount val="13"/>
                <c:pt idx="0">
                  <c:v>42856</c:v>
                </c:pt>
                <c:pt idx="1">
                  <c:v>42887</c:v>
                </c:pt>
                <c:pt idx="2">
                  <c:v>42917</c:v>
                </c:pt>
                <c:pt idx="3">
                  <c:v>42948</c:v>
                </c:pt>
                <c:pt idx="4">
                  <c:v>42979</c:v>
                </c:pt>
                <c:pt idx="5">
                  <c:v>43009</c:v>
                </c:pt>
                <c:pt idx="6">
                  <c:v>43040</c:v>
                </c:pt>
                <c:pt idx="7">
                  <c:v>43070</c:v>
                </c:pt>
                <c:pt idx="8">
                  <c:v>43101</c:v>
                </c:pt>
                <c:pt idx="9">
                  <c:v>43132</c:v>
                </c:pt>
                <c:pt idx="10">
                  <c:v>43160</c:v>
                </c:pt>
                <c:pt idx="11">
                  <c:v>43191</c:v>
                </c:pt>
                <c:pt idx="12">
                  <c:v>43221</c:v>
                </c:pt>
              </c:numCache>
            </c:numRef>
          </c:cat>
          <c:val>
            <c:numRef>
              <c:f>Sayfa1!$C$2:$C$14</c:f>
              <c:numCache>
                <c:formatCode>0.0</c:formatCode>
                <c:ptCount val="13"/>
                <c:pt idx="0">
                  <c:v>109.17934470965015</c:v>
                </c:pt>
                <c:pt idx="1">
                  <c:v>105.24414611969023</c:v>
                </c:pt>
                <c:pt idx="2">
                  <c:v>108.7</c:v>
                </c:pt>
                <c:pt idx="3">
                  <c:v>108.6</c:v>
                </c:pt>
                <c:pt idx="4">
                  <c:v>104.8</c:v>
                </c:pt>
                <c:pt idx="5">
                  <c:v>99.8</c:v>
                </c:pt>
                <c:pt idx="6">
                  <c:v>95</c:v>
                </c:pt>
                <c:pt idx="7">
                  <c:v>87.486339442930202</c:v>
                </c:pt>
                <c:pt idx="8">
                  <c:v>91.910628639076805</c:v>
                </c:pt>
                <c:pt idx="9">
                  <c:v>95.5</c:v>
                </c:pt>
                <c:pt idx="10">
                  <c:v>98.3</c:v>
                </c:pt>
                <c:pt idx="11">
                  <c:v>100.66787469209</c:v>
                </c:pt>
                <c:pt idx="12">
                  <c:v>98.3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5B5-4BEB-9057-38EC655712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30449664"/>
        <c:axId val="1"/>
      </c:lineChart>
      <c:dateAx>
        <c:axId val="1930449664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"/>
        <c:crosses val="autoZero"/>
        <c:auto val="1"/>
        <c:lblOffset val="100"/>
        <c:baseTimeUnit val="months"/>
      </c:dateAx>
      <c:valAx>
        <c:axId val="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9304496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662892832840354"/>
          <c:y val="0.1126995231580761"/>
          <c:w val="0.25224270746644473"/>
          <c:h val="0.31536585213956086"/>
        </c:manualLayout>
      </c:layout>
      <c:overlay val="0"/>
      <c:spPr>
        <a:noFill/>
        <a:ln w="25400">
          <a:noFill/>
        </a:ln>
      </c:spPr>
      <c:txPr>
        <a:bodyPr rot="0" spcFirstLastPara="1" vertOverflow="ellipsis" vert="horz" wrap="square" anchor="ctr" anchorCtr="1"/>
        <a:lstStyle/>
        <a:p>
          <a:pPr>
            <a:defRPr sz="7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A7243-D6F5-4578-8B40-436E14609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104</cp:revision>
  <cp:lastPrinted>2018-04-24T12:55:00Z</cp:lastPrinted>
  <dcterms:created xsi:type="dcterms:W3CDTF">2017-08-25T07:14:00Z</dcterms:created>
  <dcterms:modified xsi:type="dcterms:W3CDTF">2018-05-25T14:10:00Z</dcterms:modified>
</cp:coreProperties>
</file>